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655E" w14:textId="77777777" w:rsidR="00271690" w:rsidRDefault="00271690" w:rsidP="00461DDB">
      <w:pPr>
        <w:tabs>
          <w:tab w:val="left" w:pos="5625"/>
        </w:tabs>
        <w:spacing w:line="276" w:lineRule="auto"/>
        <w:ind w:left="-567" w:right="136" w:firstLine="0"/>
        <w:rPr>
          <w:sz w:val="22"/>
          <w:szCs w:val="22"/>
          <w:lang w:val="hr-HR"/>
        </w:rPr>
      </w:pPr>
    </w:p>
    <w:p w14:paraId="0213A0FE" w14:textId="77777777" w:rsidR="0043176A" w:rsidRPr="00BE0185" w:rsidRDefault="002F6E76" w:rsidP="002F6E76">
      <w:pPr>
        <w:spacing w:line="276" w:lineRule="auto"/>
        <w:ind w:left="-567" w:right="136" w:firstLine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43176A" w:rsidRPr="00BE0185">
        <w:rPr>
          <w:sz w:val="22"/>
          <w:szCs w:val="22"/>
          <w:lang w:val="hr-HR"/>
        </w:rPr>
        <w:t>FAKULTET ELEKTROTEHNIKE, STROJARSTVA I BRODOGRADNJE</w:t>
      </w:r>
    </w:p>
    <w:p w14:paraId="4613DB95" w14:textId="77777777" w:rsidR="0043176A" w:rsidRPr="00BE0185" w:rsidRDefault="0043176A" w:rsidP="002F6E76">
      <w:pPr>
        <w:tabs>
          <w:tab w:val="left" w:pos="5625"/>
        </w:tabs>
        <w:spacing w:line="276" w:lineRule="auto"/>
        <w:ind w:left="0" w:right="136" w:firstLine="0"/>
        <w:rPr>
          <w:sz w:val="22"/>
          <w:szCs w:val="22"/>
          <w:lang w:val="hr-HR"/>
        </w:rPr>
      </w:pPr>
      <w:r w:rsidRPr="00BE0185">
        <w:rPr>
          <w:sz w:val="22"/>
          <w:szCs w:val="22"/>
          <w:lang w:val="hr-HR"/>
        </w:rPr>
        <w:t>Ruđera Boškovića 32, Split</w:t>
      </w:r>
    </w:p>
    <w:p w14:paraId="02DBBC86" w14:textId="77777777" w:rsidR="004B70CD" w:rsidRPr="00BE0185" w:rsidRDefault="00191671" w:rsidP="002F6E76">
      <w:pPr>
        <w:tabs>
          <w:tab w:val="left" w:pos="5625"/>
        </w:tabs>
        <w:spacing w:line="276" w:lineRule="auto"/>
        <w:ind w:left="0" w:right="136" w:firstLine="0"/>
        <w:rPr>
          <w:sz w:val="22"/>
          <w:szCs w:val="22"/>
          <w:lang w:val="hr-HR"/>
        </w:rPr>
      </w:pPr>
      <w:r w:rsidRPr="00BE0185">
        <w:rPr>
          <w:sz w:val="22"/>
          <w:szCs w:val="22"/>
          <w:lang w:val="hr-HR"/>
        </w:rPr>
        <w:t>OIB:</w:t>
      </w:r>
      <w:r w:rsidR="004B70CD" w:rsidRPr="00BE0185">
        <w:rPr>
          <w:sz w:val="22"/>
          <w:szCs w:val="22"/>
          <w:lang w:val="hr-HR"/>
        </w:rPr>
        <w:t xml:space="preserve"> 00857144221</w:t>
      </w:r>
    </w:p>
    <w:p w14:paraId="42DC1F8B" w14:textId="77777777" w:rsidR="004B70CD" w:rsidRPr="00BE0185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4B70CD" w:rsidRPr="00BE0185">
        <w:rPr>
          <w:sz w:val="22"/>
          <w:szCs w:val="22"/>
          <w:lang w:val="hr-HR"/>
        </w:rPr>
        <w:t xml:space="preserve">Split, </w:t>
      </w:r>
      <w:r w:rsidR="007C2FAB" w:rsidRPr="00BE0185">
        <w:rPr>
          <w:sz w:val="22"/>
          <w:szCs w:val="22"/>
          <w:lang w:val="hr-HR"/>
        </w:rPr>
        <w:t>3</w:t>
      </w:r>
      <w:r w:rsidR="000A31D0" w:rsidRPr="00BE0185">
        <w:rPr>
          <w:sz w:val="22"/>
          <w:szCs w:val="22"/>
          <w:lang w:val="hr-HR"/>
        </w:rPr>
        <w:t>1</w:t>
      </w:r>
      <w:r w:rsidR="004B70CD" w:rsidRPr="00BE0185">
        <w:rPr>
          <w:sz w:val="22"/>
          <w:szCs w:val="22"/>
          <w:lang w:val="hr-HR"/>
        </w:rPr>
        <w:t xml:space="preserve">. </w:t>
      </w:r>
      <w:r w:rsidR="00BE701D" w:rsidRPr="00BE0185">
        <w:rPr>
          <w:sz w:val="22"/>
          <w:szCs w:val="22"/>
          <w:lang w:val="hr-HR"/>
        </w:rPr>
        <w:t>siječnja</w:t>
      </w:r>
      <w:r w:rsidR="004B70CD" w:rsidRPr="00BE0185">
        <w:rPr>
          <w:sz w:val="22"/>
          <w:szCs w:val="22"/>
          <w:lang w:val="hr-HR"/>
        </w:rPr>
        <w:t xml:space="preserve"> 20</w:t>
      </w:r>
      <w:r w:rsidR="000F3DAE" w:rsidRPr="00BE0185">
        <w:rPr>
          <w:sz w:val="22"/>
          <w:szCs w:val="22"/>
          <w:lang w:val="hr-HR"/>
        </w:rPr>
        <w:t>2</w:t>
      </w:r>
      <w:r w:rsidR="00A854CA">
        <w:rPr>
          <w:sz w:val="22"/>
          <w:szCs w:val="22"/>
          <w:lang w:val="hr-HR"/>
        </w:rPr>
        <w:t>4</w:t>
      </w:r>
      <w:r w:rsidR="004B70CD" w:rsidRPr="00BE0185">
        <w:rPr>
          <w:sz w:val="22"/>
          <w:szCs w:val="22"/>
          <w:lang w:val="hr-HR"/>
        </w:rPr>
        <w:t xml:space="preserve">. </w:t>
      </w:r>
      <w:r w:rsidR="00474488" w:rsidRPr="00BE0185">
        <w:rPr>
          <w:sz w:val="22"/>
          <w:szCs w:val="22"/>
          <w:lang w:val="hr-HR"/>
        </w:rPr>
        <w:t>g.</w:t>
      </w:r>
    </w:p>
    <w:p w14:paraId="11B3008D" w14:textId="77777777" w:rsidR="004B70CD" w:rsidRPr="00197C79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 w:rsidR="004B70CD" w:rsidRPr="00197C79">
        <w:rPr>
          <w:sz w:val="22"/>
          <w:szCs w:val="22"/>
          <w:lang w:val="hr-HR"/>
        </w:rPr>
        <w:t xml:space="preserve">Klasa: </w:t>
      </w:r>
      <w:r w:rsidR="00F77A19" w:rsidRPr="00197C79">
        <w:rPr>
          <w:sz w:val="22"/>
          <w:szCs w:val="22"/>
          <w:lang w:val="hr-HR"/>
        </w:rPr>
        <w:t>40</w:t>
      </w:r>
      <w:r w:rsidR="0009785D" w:rsidRPr="00197C79">
        <w:rPr>
          <w:sz w:val="22"/>
          <w:szCs w:val="22"/>
          <w:lang w:val="hr-HR"/>
        </w:rPr>
        <w:t>0</w:t>
      </w:r>
      <w:r w:rsidR="00F77A19" w:rsidRPr="00197C79">
        <w:rPr>
          <w:sz w:val="22"/>
          <w:szCs w:val="22"/>
          <w:lang w:val="hr-HR"/>
        </w:rPr>
        <w:t>-0</w:t>
      </w:r>
      <w:r w:rsidR="0009785D" w:rsidRPr="00197C79">
        <w:rPr>
          <w:sz w:val="22"/>
          <w:szCs w:val="22"/>
          <w:lang w:val="hr-HR"/>
        </w:rPr>
        <w:t>2</w:t>
      </w:r>
      <w:r w:rsidR="00F77A19" w:rsidRPr="00197C79">
        <w:rPr>
          <w:sz w:val="22"/>
          <w:szCs w:val="22"/>
          <w:lang w:val="hr-HR"/>
        </w:rPr>
        <w:t>/</w:t>
      </w:r>
      <w:r w:rsidR="00E1782E" w:rsidRPr="00197C79">
        <w:rPr>
          <w:sz w:val="22"/>
          <w:szCs w:val="22"/>
          <w:lang w:val="hr-HR"/>
        </w:rPr>
        <w:t>2</w:t>
      </w:r>
      <w:r w:rsidR="00922671" w:rsidRPr="00197C79">
        <w:rPr>
          <w:sz w:val="22"/>
          <w:szCs w:val="22"/>
          <w:lang w:val="hr-HR"/>
        </w:rPr>
        <w:t>4</w:t>
      </w:r>
      <w:r w:rsidR="00F77A19" w:rsidRPr="00197C79">
        <w:rPr>
          <w:sz w:val="22"/>
          <w:szCs w:val="22"/>
          <w:lang w:val="hr-HR"/>
        </w:rPr>
        <w:t>-01/00</w:t>
      </w:r>
      <w:r w:rsidR="00B0011C" w:rsidRPr="00197C79">
        <w:rPr>
          <w:sz w:val="22"/>
          <w:szCs w:val="22"/>
          <w:lang w:val="hr-HR"/>
        </w:rPr>
        <w:t>2</w:t>
      </w:r>
    </w:p>
    <w:p w14:paraId="1B28DEAB" w14:textId="77777777" w:rsidR="004B70CD" w:rsidRPr="00197C79" w:rsidRDefault="002F6E76" w:rsidP="002F6E76">
      <w:pPr>
        <w:tabs>
          <w:tab w:val="left" w:pos="5775"/>
        </w:tabs>
        <w:spacing w:line="276" w:lineRule="auto"/>
        <w:ind w:left="0" w:hanging="924"/>
        <w:rPr>
          <w:sz w:val="22"/>
          <w:szCs w:val="22"/>
          <w:lang w:val="hr-HR"/>
        </w:rPr>
      </w:pPr>
      <w:r w:rsidRPr="00197C79">
        <w:rPr>
          <w:sz w:val="22"/>
          <w:szCs w:val="22"/>
          <w:lang w:val="hr-HR"/>
        </w:rPr>
        <w:tab/>
      </w:r>
      <w:proofErr w:type="spellStart"/>
      <w:r w:rsidR="004B70CD" w:rsidRPr="00197C79">
        <w:rPr>
          <w:sz w:val="22"/>
          <w:szCs w:val="22"/>
          <w:lang w:val="hr-HR"/>
        </w:rPr>
        <w:t>Ur</w:t>
      </w:r>
      <w:proofErr w:type="spellEnd"/>
      <w:r w:rsidR="004B70CD" w:rsidRPr="00197C79">
        <w:rPr>
          <w:sz w:val="22"/>
          <w:szCs w:val="22"/>
          <w:lang w:val="hr-HR"/>
        </w:rPr>
        <w:t xml:space="preserve">. broj : </w:t>
      </w:r>
      <w:r w:rsidR="00F77A19" w:rsidRPr="00197C79">
        <w:rPr>
          <w:sz w:val="22"/>
          <w:szCs w:val="22"/>
          <w:lang w:val="hr-HR"/>
        </w:rPr>
        <w:t>2181/206-</w:t>
      </w:r>
      <w:r w:rsidR="007C2FAB" w:rsidRPr="00197C79">
        <w:rPr>
          <w:sz w:val="22"/>
          <w:szCs w:val="22"/>
          <w:lang w:val="hr-HR"/>
        </w:rPr>
        <w:t>3</w:t>
      </w:r>
      <w:r w:rsidR="00F77A19" w:rsidRPr="00197C79">
        <w:rPr>
          <w:sz w:val="22"/>
          <w:szCs w:val="22"/>
          <w:lang w:val="hr-HR"/>
        </w:rPr>
        <w:t>-</w:t>
      </w:r>
      <w:r w:rsidR="007C2FAB" w:rsidRPr="00197C79">
        <w:rPr>
          <w:sz w:val="22"/>
          <w:szCs w:val="22"/>
          <w:lang w:val="hr-HR"/>
        </w:rPr>
        <w:t>5-</w:t>
      </w:r>
      <w:r w:rsidR="00E1782E" w:rsidRPr="00197C79">
        <w:rPr>
          <w:sz w:val="22"/>
          <w:szCs w:val="22"/>
          <w:lang w:val="hr-HR"/>
        </w:rPr>
        <w:t>2</w:t>
      </w:r>
      <w:r w:rsidR="00922671" w:rsidRPr="00197C79">
        <w:rPr>
          <w:sz w:val="22"/>
          <w:szCs w:val="22"/>
          <w:lang w:val="hr-HR"/>
        </w:rPr>
        <w:t>4</w:t>
      </w:r>
      <w:r w:rsidR="00F77A19" w:rsidRPr="00197C79">
        <w:rPr>
          <w:sz w:val="22"/>
          <w:szCs w:val="22"/>
          <w:lang w:val="hr-HR"/>
        </w:rPr>
        <w:t>-</w:t>
      </w:r>
      <w:r w:rsidR="00197C79" w:rsidRPr="00197C79">
        <w:rPr>
          <w:sz w:val="22"/>
          <w:szCs w:val="22"/>
          <w:lang w:val="hr-HR"/>
        </w:rPr>
        <w:t>0</w:t>
      </w:r>
      <w:r w:rsidR="00922671" w:rsidRPr="00197C79">
        <w:rPr>
          <w:sz w:val="22"/>
          <w:szCs w:val="22"/>
          <w:lang w:val="hr-HR"/>
        </w:rPr>
        <w:t>1</w:t>
      </w:r>
    </w:p>
    <w:p w14:paraId="09F2F781" w14:textId="77777777" w:rsidR="004B70CD" w:rsidRPr="00BE0185" w:rsidRDefault="004B70CD" w:rsidP="00461DDB">
      <w:pPr>
        <w:tabs>
          <w:tab w:val="left" w:pos="5475"/>
        </w:tabs>
        <w:spacing w:line="276" w:lineRule="auto"/>
        <w:rPr>
          <w:sz w:val="22"/>
          <w:szCs w:val="22"/>
          <w:lang w:val="hr-HR"/>
        </w:rPr>
      </w:pPr>
    </w:p>
    <w:p w14:paraId="490DB7E0" w14:textId="77777777" w:rsidR="001B72FD" w:rsidRPr="00A854CA" w:rsidRDefault="001B72FD" w:rsidP="00461DDB">
      <w:pPr>
        <w:tabs>
          <w:tab w:val="left" w:pos="5475"/>
        </w:tabs>
        <w:spacing w:line="276" w:lineRule="auto"/>
        <w:rPr>
          <w:color w:val="4F6228" w:themeColor="accent3" w:themeShade="80"/>
          <w:sz w:val="22"/>
          <w:szCs w:val="22"/>
          <w:lang w:val="hr-HR"/>
        </w:rPr>
      </w:pPr>
    </w:p>
    <w:p w14:paraId="2E53E611" w14:textId="77777777" w:rsidR="004B70CD" w:rsidRPr="00521712" w:rsidRDefault="004B70CD" w:rsidP="00461DDB">
      <w:pPr>
        <w:tabs>
          <w:tab w:val="left" w:pos="5475"/>
        </w:tabs>
        <w:spacing w:line="276" w:lineRule="auto"/>
        <w:rPr>
          <w:b/>
          <w:sz w:val="22"/>
          <w:szCs w:val="22"/>
          <w:lang w:val="hr-HR"/>
        </w:rPr>
      </w:pPr>
      <w:r w:rsidRPr="00A854CA">
        <w:rPr>
          <w:color w:val="4F6228" w:themeColor="accent3" w:themeShade="80"/>
          <w:sz w:val="22"/>
          <w:szCs w:val="22"/>
          <w:lang w:val="hr-HR"/>
        </w:rPr>
        <w:tab/>
      </w:r>
      <w:r w:rsidRPr="00A854CA">
        <w:rPr>
          <w:color w:val="4F6228" w:themeColor="accent3" w:themeShade="80"/>
          <w:sz w:val="22"/>
          <w:szCs w:val="22"/>
          <w:lang w:val="hr-HR"/>
        </w:rPr>
        <w:tab/>
      </w:r>
      <w:r w:rsidRPr="00A854CA">
        <w:rPr>
          <w:color w:val="4F6228" w:themeColor="accent3" w:themeShade="80"/>
          <w:sz w:val="22"/>
          <w:szCs w:val="22"/>
          <w:lang w:val="hr-HR"/>
        </w:rPr>
        <w:tab/>
      </w:r>
      <w:r w:rsidRPr="00521712">
        <w:rPr>
          <w:b/>
          <w:sz w:val="22"/>
          <w:szCs w:val="22"/>
          <w:lang w:val="hr-HR"/>
        </w:rPr>
        <w:t>MINISTARSTVO ZNANOSTI</w:t>
      </w:r>
      <w:r w:rsidR="00200294" w:rsidRPr="00521712">
        <w:rPr>
          <w:b/>
          <w:sz w:val="22"/>
          <w:szCs w:val="22"/>
          <w:lang w:val="hr-HR"/>
        </w:rPr>
        <w:t xml:space="preserve"> I</w:t>
      </w:r>
    </w:p>
    <w:p w14:paraId="63ADDDE9" w14:textId="77777777" w:rsidR="00200294" w:rsidRPr="00521712" w:rsidRDefault="002F6E76" w:rsidP="00461DDB">
      <w:pPr>
        <w:spacing w:line="276" w:lineRule="auto"/>
        <w:ind w:left="5397" w:firstLine="0"/>
        <w:rPr>
          <w:b/>
          <w:sz w:val="22"/>
          <w:szCs w:val="22"/>
          <w:lang w:val="hr-HR"/>
        </w:rPr>
      </w:pPr>
      <w:r w:rsidRPr="00521712">
        <w:rPr>
          <w:b/>
          <w:sz w:val="22"/>
          <w:szCs w:val="22"/>
          <w:lang w:val="hr-HR"/>
        </w:rPr>
        <w:t xml:space="preserve">    </w:t>
      </w:r>
      <w:r w:rsidR="004B70CD" w:rsidRPr="00521712">
        <w:rPr>
          <w:b/>
          <w:sz w:val="22"/>
          <w:szCs w:val="22"/>
          <w:lang w:val="hr-HR"/>
        </w:rPr>
        <w:t>OBRAZOVANJA</w:t>
      </w:r>
    </w:p>
    <w:p w14:paraId="20271547" w14:textId="77777777" w:rsidR="004B70CD" w:rsidRPr="00521712" w:rsidRDefault="004B70CD" w:rsidP="00461DDB">
      <w:pPr>
        <w:spacing w:line="276" w:lineRule="auto"/>
        <w:ind w:left="5397" w:firstLine="0"/>
        <w:rPr>
          <w:b/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ab/>
        <w:t>Donje Svetice 38</w:t>
      </w:r>
    </w:p>
    <w:p w14:paraId="16681246" w14:textId="77777777" w:rsidR="004B70CD" w:rsidRPr="00521712" w:rsidRDefault="004B70CD" w:rsidP="00461DDB">
      <w:pPr>
        <w:tabs>
          <w:tab w:val="left" w:pos="5625"/>
        </w:tabs>
        <w:spacing w:line="276" w:lineRule="auto"/>
        <w:ind w:right="136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ab/>
      </w:r>
      <w:r w:rsidRPr="00521712">
        <w:rPr>
          <w:sz w:val="22"/>
          <w:szCs w:val="22"/>
          <w:lang w:val="hr-HR"/>
        </w:rPr>
        <w:tab/>
      </w:r>
      <w:r w:rsidRPr="00521712">
        <w:rPr>
          <w:sz w:val="22"/>
          <w:szCs w:val="22"/>
          <w:lang w:val="hr-HR"/>
        </w:rPr>
        <w:tab/>
        <w:t>10000 ZAGREB</w:t>
      </w:r>
    </w:p>
    <w:p w14:paraId="3191B3DD" w14:textId="77777777" w:rsidR="004B70CD" w:rsidRPr="00521712" w:rsidRDefault="004B70CD" w:rsidP="00461DDB">
      <w:pPr>
        <w:tabs>
          <w:tab w:val="left" w:pos="4905"/>
          <w:tab w:val="left" w:pos="5775"/>
        </w:tabs>
        <w:spacing w:line="276" w:lineRule="auto"/>
        <w:rPr>
          <w:sz w:val="22"/>
          <w:szCs w:val="22"/>
          <w:lang w:val="hr-HR"/>
        </w:rPr>
      </w:pPr>
    </w:p>
    <w:p w14:paraId="3DADF41C" w14:textId="77777777" w:rsidR="004B70CD" w:rsidRPr="00521712" w:rsidRDefault="004B70CD" w:rsidP="002F6E76">
      <w:pPr>
        <w:spacing w:line="276" w:lineRule="auto"/>
        <w:ind w:left="0" w:firstLine="0"/>
        <w:rPr>
          <w:b/>
          <w:sz w:val="22"/>
          <w:szCs w:val="22"/>
          <w:lang w:val="hr-HR"/>
        </w:rPr>
      </w:pPr>
    </w:p>
    <w:p w14:paraId="557AB34F" w14:textId="77777777" w:rsidR="004B70CD" w:rsidRPr="00521712" w:rsidRDefault="004B70CD" w:rsidP="00461DDB">
      <w:pPr>
        <w:pStyle w:val="Heading2"/>
        <w:spacing w:line="276" w:lineRule="auto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BILJEŠKE</w:t>
      </w:r>
      <w:r w:rsidR="00477765" w:rsidRPr="00521712">
        <w:rPr>
          <w:sz w:val="22"/>
          <w:szCs w:val="22"/>
          <w:lang w:val="hr-HR"/>
        </w:rPr>
        <w:t xml:space="preserve"> </w:t>
      </w:r>
      <w:r w:rsidRPr="00521712">
        <w:rPr>
          <w:sz w:val="22"/>
          <w:szCs w:val="22"/>
          <w:lang w:val="hr-HR"/>
        </w:rPr>
        <w:t xml:space="preserve">  UZ</w:t>
      </w:r>
      <w:r w:rsidR="00E71B14" w:rsidRPr="00521712">
        <w:rPr>
          <w:sz w:val="22"/>
          <w:szCs w:val="22"/>
          <w:lang w:val="hr-HR"/>
        </w:rPr>
        <w:t xml:space="preserve"> </w:t>
      </w:r>
      <w:r w:rsidRPr="00521712">
        <w:rPr>
          <w:sz w:val="22"/>
          <w:szCs w:val="22"/>
          <w:lang w:val="hr-HR"/>
        </w:rPr>
        <w:t xml:space="preserve">  FINANCIJSKA</w:t>
      </w:r>
      <w:r w:rsidR="007B6DCA" w:rsidRPr="00521712">
        <w:rPr>
          <w:sz w:val="22"/>
          <w:szCs w:val="22"/>
          <w:lang w:val="hr-HR"/>
        </w:rPr>
        <w:t xml:space="preserve"> </w:t>
      </w:r>
      <w:r w:rsidRPr="00521712">
        <w:rPr>
          <w:sz w:val="22"/>
          <w:szCs w:val="22"/>
          <w:lang w:val="hr-HR"/>
        </w:rPr>
        <w:t xml:space="preserve">  IZVJEŠĆA</w:t>
      </w:r>
    </w:p>
    <w:p w14:paraId="5F3DAF12" w14:textId="77777777" w:rsidR="00191671" w:rsidRPr="00521712" w:rsidRDefault="004B70CD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za razdoblje od 01. siječnja do 31. prosinca  20</w:t>
      </w:r>
      <w:r w:rsidR="00176439" w:rsidRPr="00521712">
        <w:rPr>
          <w:sz w:val="22"/>
          <w:szCs w:val="22"/>
          <w:lang w:val="hr-HR"/>
        </w:rPr>
        <w:t>2</w:t>
      </w:r>
      <w:r w:rsidR="007C44E5" w:rsidRPr="00521712">
        <w:rPr>
          <w:sz w:val="22"/>
          <w:szCs w:val="22"/>
          <w:lang w:val="hr-HR"/>
        </w:rPr>
        <w:t>3</w:t>
      </w:r>
      <w:r w:rsidRPr="00521712">
        <w:rPr>
          <w:sz w:val="22"/>
          <w:szCs w:val="22"/>
          <w:lang w:val="hr-HR"/>
        </w:rPr>
        <w:t xml:space="preserve">. </w:t>
      </w:r>
      <w:r w:rsidR="00191671" w:rsidRPr="00521712">
        <w:rPr>
          <w:sz w:val="22"/>
          <w:szCs w:val="22"/>
          <w:lang w:val="hr-HR"/>
        </w:rPr>
        <w:t>g</w:t>
      </w:r>
      <w:r w:rsidRPr="00521712">
        <w:rPr>
          <w:sz w:val="22"/>
          <w:szCs w:val="22"/>
          <w:lang w:val="hr-HR"/>
        </w:rPr>
        <w:t>odine</w:t>
      </w:r>
    </w:p>
    <w:p w14:paraId="5C72296B" w14:textId="77777777" w:rsidR="001B72FD" w:rsidRPr="00521712" w:rsidRDefault="001B72FD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</w:p>
    <w:p w14:paraId="22ABCC95" w14:textId="77777777" w:rsidR="005D3050" w:rsidRPr="00521712" w:rsidRDefault="005D3050" w:rsidP="00461DDB">
      <w:pPr>
        <w:spacing w:line="276" w:lineRule="auto"/>
        <w:ind w:left="-75"/>
        <w:jc w:val="center"/>
        <w:rPr>
          <w:sz w:val="22"/>
          <w:szCs w:val="22"/>
          <w:lang w:val="hr-HR"/>
        </w:rPr>
      </w:pPr>
    </w:p>
    <w:p w14:paraId="33D43A62" w14:textId="77777777" w:rsidR="0092184F" w:rsidRPr="00521712" w:rsidRDefault="00541674" w:rsidP="002F6E76">
      <w:pPr>
        <w:pStyle w:val="ListParagraph"/>
        <w:numPr>
          <w:ilvl w:val="0"/>
          <w:numId w:val="27"/>
        </w:numPr>
        <w:spacing w:after="0" w:line="360" w:lineRule="auto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 xml:space="preserve">Stanje sredstava </w:t>
      </w:r>
      <w:r w:rsidR="003502B6" w:rsidRPr="00521712">
        <w:rPr>
          <w:sz w:val="22"/>
          <w:szCs w:val="22"/>
          <w:lang w:val="hr-HR"/>
        </w:rPr>
        <w:t>Obrazac: BILANCA</w:t>
      </w:r>
      <w:r w:rsidR="003502B6" w:rsidRPr="00521712">
        <w:rPr>
          <w:b/>
          <w:bCs/>
          <w:sz w:val="22"/>
          <w:szCs w:val="22"/>
          <w:lang w:val="hr-HR"/>
        </w:rPr>
        <w:t xml:space="preserve"> </w:t>
      </w:r>
      <w:r w:rsidRPr="00521712">
        <w:rPr>
          <w:sz w:val="22"/>
          <w:szCs w:val="22"/>
          <w:lang w:val="hr-HR"/>
        </w:rPr>
        <w:t xml:space="preserve">žiro računa na Zagrebačkoj banci na dan bilanciranja iznosi </w:t>
      </w:r>
      <w:r w:rsidR="00A854CA" w:rsidRPr="00521712">
        <w:rPr>
          <w:sz w:val="22"/>
          <w:szCs w:val="22"/>
          <w:lang w:val="hr-HR"/>
        </w:rPr>
        <w:t>2.983.880,49</w:t>
      </w:r>
      <w:r w:rsidR="000F3DAE" w:rsidRPr="00521712">
        <w:rPr>
          <w:sz w:val="22"/>
          <w:szCs w:val="22"/>
          <w:lang w:val="hr-HR"/>
        </w:rPr>
        <w:t xml:space="preserve"> </w:t>
      </w:r>
      <w:r w:rsidR="00A854CA" w:rsidRPr="00521712">
        <w:rPr>
          <w:sz w:val="22"/>
          <w:szCs w:val="22"/>
          <w:lang w:val="hr-HR"/>
        </w:rPr>
        <w:t>eura</w:t>
      </w:r>
      <w:r w:rsidR="00E705AF" w:rsidRPr="00521712">
        <w:rPr>
          <w:sz w:val="22"/>
          <w:szCs w:val="22"/>
          <w:lang w:val="hr-HR"/>
        </w:rPr>
        <w:t xml:space="preserve"> i odgovara izv</w:t>
      </w:r>
      <w:r w:rsidR="004F759D" w:rsidRPr="00521712">
        <w:rPr>
          <w:sz w:val="22"/>
          <w:szCs w:val="22"/>
          <w:lang w:val="hr-HR"/>
        </w:rPr>
        <w:t>odu</w:t>
      </w:r>
      <w:r w:rsidR="00E705AF" w:rsidRPr="00521712">
        <w:rPr>
          <w:sz w:val="22"/>
          <w:szCs w:val="22"/>
          <w:lang w:val="hr-HR"/>
        </w:rPr>
        <w:t xml:space="preserve"> br. </w:t>
      </w:r>
      <w:r w:rsidR="004E7B0E" w:rsidRPr="00521712">
        <w:rPr>
          <w:sz w:val="22"/>
          <w:szCs w:val="22"/>
          <w:lang w:val="hr-HR"/>
        </w:rPr>
        <w:t>2</w:t>
      </w:r>
      <w:r w:rsidR="00A854CA" w:rsidRPr="00521712">
        <w:rPr>
          <w:sz w:val="22"/>
          <w:szCs w:val="22"/>
          <w:lang w:val="hr-HR"/>
        </w:rPr>
        <w:t>77</w:t>
      </w:r>
      <w:r w:rsidRPr="00521712">
        <w:rPr>
          <w:sz w:val="22"/>
          <w:szCs w:val="22"/>
          <w:lang w:val="hr-HR"/>
        </w:rPr>
        <w:t xml:space="preserve">. </w:t>
      </w:r>
      <w:r w:rsidR="00777FF7" w:rsidRPr="00521712">
        <w:rPr>
          <w:sz w:val="22"/>
          <w:szCs w:val="22"/>
          <w:lang w:val="hr-HR"/>
        </w:rPr>
        <w:t xml:space="preserve">Stanje sredstava žiro računa na OTP banci d.d. na dan bilanciranja iznosi </w:t>
      </w:r>
      <w:r w:rsidR="0096403C" w:rsidRPr="00521712">
        <w:rPr>
          <w:sz w:val="22"/>
          <w:szCs w:val="22"/>
          <w:lang w:val="hr-HR"/>
        </w:rPr>
        <w:t>572,28 eura</w:t>
      </w:r>
      <w:r w:rsidR="00777FF7" w:rsidRPr="00521712">
        <w:rPr>
          <w:sz w:val="22"/>
          <w:szCs w:val="22"/>
          <w:lang w:val="hr-HR"/>
        </w:rPr>
        <w:t xml:space="preserve"> i odgovara izvodu br. </w:t>
      </w:r>
      <w:r w:rsidR="00A854CA" w:rsidRPr="00521712">
        <w:rPr>
          <w:sz w:val="22"/>
          <w:szCs w:val="22"/>
          <w:lang w:val="hr-HR"/>
        </w:rPr>
        <w:t>4</w:t>
      </w:r>
      <w:r w:rsidR="00777FF7" w:rsidRPr="00521712">
        <w:rPr>
          <w:sz w:val="22"/>
          <w:szCs w:val="22"/>
          <w:lang w:val="hr-HR"/>
        </w:rPr>
        <w:t xml:space="preserve">. </w:t>
      </w:r>
      <w:r w:rsidR="0092184F" w:rsidRPr="00521712">
        <w:rPr>
          <w:sz w:val="22"/>
          <w:szCs w:val="22"/>
          <w:lang w:val="hr-HR"/>
        </w:rPr>
        <w:t xml:space="preserve">U blagajni Fakulteta </w:t>
      </w:r>
      <w:r w:rsidR="00777FF7" w:rsidRPr="00521712">
        <w:rPr>
          <w:sz w:val="22"/>
          <w:szCs w:val="22"/>
          <w:lang w:val="hr-HR"/>
        </w:rPr>
        <w:t xml:space="preserve">je </w:t>
      </w:r>
      <w:r w:rsidR="0092184F" w:rsidRPr="00521712">
        <w:rPr>
          <w:sz w:val="22"/>
          <w:szCs w:val="22"/>
          <w:lang w:val="hr-HR"/>
        </w:rPr>
        <w:t xml:space="preserve">ostao saldo </w:t>
      </w:r>
      <w:r w:rsidR="00777FF7" w:rsidRPr="00521712">
        <w:rPr>
          <w:sz w:val="22"/>
          <w:szCs w:val="22"/>
          <w:lang w:val="hr-HR"/>
        </w:rPr>
        <w:t xml:space="preserve">na dan </w:t>
      </w:r>
      <w:proofErr w:type="spellStart"/>
      <w:r w:rsidR="00777FF7" w:rsidRPr="00521712">
        <w:rPr>
          <w:sz w:val="22"/>
          <w:szCs w:val="22"/>
          <w:lang w:val="hr-HR"/>
        </w:rPr>
        <w:t>bilanciranja</w:t>
      </w:r>
      <w:r w:rsidR="0096403C" w:rsidRPr="00521712">
        <w:rPr>
          <w:sz w:val="22"/>
          <w:szCs w:val="22"/>
          <w:lang w:val="hr-HR"/>
        </w:rPr>
        <w:t>u</w:t>
      </w:r>
      <w:proofErr w:type="spellEnd"/>
      <w:r w:rsidR="0096403C" w:rsidRPr="00521712">
        <w:rPr>
          <w:sz w:val="22"/>
          <w:szCs w:val="22"/>
          <w:lang w:val="hr-HR"/>
        </w:rPr>
        <w:t xml:space="preserve"> iznosu od 587,59 eura</w:t>
      </w:r>
      <w:r w:rsidR="0092184F" w:rsidRPr="00521712">
        <w:rPr>
          <w:sz w:val="22"/>
          <w:szCs w:val="22"/>
          <w:lang w:val="hr-HR"/>
        </w:rPr>
        <w:t>. Ukupna novčana sredstva na dan 31. prosinca 20</w:t>
      </w:r>
      <w:r w:rsidR="009B495F" w:rsidRPr="00521712">
        <w:rPr>
          <w:sz w:val="22"/>
          <w:szCs w:val="22"/>
          <w:lang w:val="hr-HR"/>
        </w:rPr>
        <w:t>2</w:t>
      </w:r>
      <w:r w:rsidR="00A854CA" w:rsidRPr="00521712">
        <w:rPr>
          <w:sz w:val="22"/>
          <w:szCs w:val="22"/>
          <w:lang w:val="hr-HR"/>
        </w:rPr>
        <w:t>3</w:t>
      </w:r>
      <w:r w:rsidR="0092184F" w:rsidRPr="00521712">
        <w:rPr>
          <w:sz w:val="22"/>
          <w:szCs w:val="22"/>
          <w:lang w:val="hr-HR"/>
        </w:rPr>
        <w:t xml:space="preserve">. godine iznose </w:t>
      </w:r>
      <w:r w:rsidR="0096403C" w:rsidRPr="00521712">
        <w:rPr>
          <w:sz w:val="22"/>
          <w:szCs w:val="22"/>
          <w:lang w:val="hr-HR"/>
        </w:rPr>
        <w:t>2</w:t>
      </w:r>
      <w:r w:rsidR="00BF0984" w:rsidRPr="00521712">
        <w:rPr>
          <w:sz w:val="22"/>
          <w:szCs w:val="22"/>
          <w:lang w:val="hr-HR"/>
        </w:rPr>
        <w:t>.</w:t>
      </w:r>
      <w:r w:rsidR="0096403C" w:rsidRPr="00521712">
        <w:rPr>
          <w:sz w:val="22"/>
          <w:szCs w:val="22"/>
          <w:lang w:val="hr-HR"/>
        </w:rPr>
        <w:t>985</w:t>
      </w:r>
      <w:r w:rsidR="00BF0984" w:rsidRPr="00521712">
        <w:rPr>
          <w:sz w:val="22"/>
          <w:szCs w:val="22"/>
          <w:lang w:val="hr-HR"/>
        </w:rPr>
        <w:t>.</w:t>
      </w:r>
      <w:r w:rsidR="0096403C" w:rsidRPr="00521712">
        <w:rPr>
          <w:sz w:val="22"/>
          <w:szCs w:val="22"/>
          <w:lang w:val="hr-HR"/>
        </w:rPr>
        <w:t>040</w:t>
      </w:r>
      <w:r w:rsidR="00BF0984" w:rsidRPr="00521712">
        <w:rPr>
          <w:sz w:val="22"/>
          <w:szCs w:val="22"/>
          <w:lang w:val="hr-HR"/>
        </w:rPr>
        <w:t>,</w:t>
      </w:r>
      <w:r w:rsidR="0096403C" w:rsidRPr="00521712">
        <w:rPr>
          <w:sz w:val="22"/>
          <w:szCs w:val="22"/>
          <w:lang w:val="hr-HR"/>
        </w:rPr>
        <w:t>36</w:t>
      </w:r>
      <w:r w:rsidR="0092184F" w:rsidRPr="00521712">
        <w:rPr>
          <w:sz w:val="22"/>
          <w:szCs w:val="22"/>
          <w:lang w:val="hr-HR"/>
        </w:rPr>
        <w:t xml:space="preserve"> </w:t>
      </w:r>
      <w:r w:rsidR="0096403C" w:rsidRPr="00521712">
        <w:rPr>
          <w:sz w:val="22"/>
          <w:szCs w:val="22"/>
          <w:lang w:val="hr-HR"/>
        </w:rPr>
        <w:t>eura</w:t>
      </w:r>
      <w:r w:rsidR="0092184F" w:rsidRPr="00521712">
        <w:rPr>
          <w:sz w:val="22"/>
          <w:szCs w:val="22"/>
          <w:lang w:val="hr-HR"/>
        </w:rPr>
        <w:t>.</w:t>
      </w:r>
    </w:p>
    <w:p w14:paraId="6FD09BAA" w14:textId="77777777" w:rsidR="00E6660D" w:rsidRPr="00521712" w:rsidRDefault="00E6660D" w:rsidP="002F6E76">
      <w:pPr>
        <w:tabs>
          <w:tab w:val="left" w:pos="990"/>
          <w:tab w:val="left" w:pos="1440"/>
          <w:tab w:val="left" w:pos="1620"/>
        </w:tabs>
        <w:spacing w:after="0" w:line="360" w:lineRule="auto"/>
        <w:rPr>
          <w:sz w:val="22"/>
          <w:szCs w:val="22"/>
          <w:lang w:val="hr-HR"/>
        </w:rPr>
      </w:pPr>
    </w:p>
    <w:p w14:paraId="30F0AF56" w14:textId="77777777" w:rsidR="002C27F0" w:rsidRPr="00521712" w:rsidRDefault="002C27F0" w:rsidP="002F6E76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Ostala potraživanja</w:t>
      </w:r>
      <w:r w:rsidR="006845F9" w:rsidRPr="00521712">
        <w:rPr>
          <w:sz w:val="22"/>
          <w:szCs w:val="22"/>
          <w:lang w:val="hr-HR"/>
        </w:rPr>
        <w:t xml:space="preserve"> </w:t>
      </w:r>
      <w:r w:rsidR="00013E46" w:rsidRPr="00521712">
        <w:rPr>
          <w:sz w:val="22"/>
          <w:szCs w:val="22"/>
          <w:lang w:val="hr-HR"/>
        </w:rPr>
        <w:t xml:space="preserve">Obrazac: BILANCA </w:t>
      </w:r>
      <w:r w:rsidR="0041080C" w:rsidRPr="00521712">
        <w:rPr>
          <w:sz w:val="22"/>
          <w:szCs w:val="22"/>
          <w:lang w:val="hr-HR"/>
        </w:rPr>
        <w:t xml:space="preserve">su </w:t>
      </w:r>
      <w:r w:rsidR="006845F9" w:rsidRPr="00521712">
        <w:rPr>
          <w:sz w:val="22"/>
          <w:szCs w:val="22"/>
          <w:lang w:val="hr-HR"/>
        </w:rPr>
        <w:t>u iznosu od</w:t>
      </w:r>
      <w:r w:rsidR="00430CFC" w:rsidRPr="00521712">
        <w:rPr>
          <w:sz w:val="22"/>
          <w:szCs w:val="22"/>
          <w:lang w:val="hr-HR"/>
        </w:rPr>
        <w:t xml:space="preserve"> </w:t>
      </w:r>
      <w:r w:rsidR="003316AB" w:rsidRPr="00521712">
        <w:rPr>
          <w:sz w:val="22"/>
          <w:szCs w:val="22"/>
          <w:lang w:val="hr-HR"/>
        </w:rPr>
        <w:t>9.</w:t>
      </w:r>
      <w:r w:rsidR="008C0B24" w:rsidRPr="00521712">
        <w:rPr>
          <w:sz w:val="22"/>
          <w:szCs w:val="22"/>
          <w:lang w:val="hr-HR"/>
        </w:rPr>
        <w:t>482,35</w:t>
      </w:r>
      <w:r w:rsidR="003316AB" w:rsidRPr="00521712">
        <w:rPr>
          <w:sz w:val="22"/>
          <w:szCs w:val="22"/>
          <w:lang w:val="hr-HR"/>
        </w:rPr>
        <w:t xml:space="preserve"> eura</w:t>
      </w:r>
      <w:r w:rsidR="0041080C" w:rsidRPr="00521712">
        <w:rPr>
          <w:sz w:val="22"/>
          <w:szCs w:val="22"/>
          <w:lang w:val="hr-HR"/>
        </w:rPr>
        <w:t>, a odnose se na potraživanja za naknade bolovanja preko 42 dana i ostalih bolovanja koje se refundiraju od HZZO</w:t>
      </w:r>
      <w:r w:rsidR="006845F9" w:rsidRPr="00521712">
        <w:rPr>
          <w:sz w:val="22"/>
          <w:szCs w:val="22"/>
          <w:lang w:val="hr-HR"/>
        </w:rPr>
        <w:t xml:space="preserve"> </w:t>
      </w:r>
      <w:r w:rsidR="0041080C" w:rsidRPr="00521712">
        <w:rPr>
          <w:sz w:val="22"/>
          <w:szCs w:val="22"/>
          <w:lang w:val="hr-HR"/>
        </w:rPr>
        <w:t xml:space="preserve">u iznosu od </w:t>
      </w:r>
      <w:r w:rsidR="003316AB" w:rsidRPr="00521712">
        <w:rPr>
          <w:sz w:val="22"/>
          <w:szCs w:val="22"/>
          <w:lang w:val="hr-HR"/>
        </w:rPr>
        <w:t>8.371,09 eura</w:t>
      </w:r>
      <w:r w:rsidR="00013E46" w:rsidRPr="00521712">
        <w:rPr>
          <w:sz w:val="22"/>
          <w:szCs w:val="22"/>
          <w:lang w:val="hr-HR"/>
        </w:rPr>
        <w:t xml:space="preserve"> i</w:t>
      </w:r>
      <w:r w:rsidR="00E254A4" w:rsidRPr="00521712">
        <w:rPr>
          <w:sz w:val="22"/>
          <w:szCs w:val="22"/>
          <w:lang w:val="hr-HR"/>
        </w:rPr>
        <w:t xml:space="preserve"> </w:t>
      </w:r>
      <w:r w:rsidR="0041080C" w:rsidRPr="00521712">
        <w:rPr>
          <w:sz w:val="22"/>
          <w:szCs w:val="22"/>
          <w:lang w:val="hr-HR"/>
        </w:rPr>
        <w:t xml:space="preserve">potraživanja za dane predujmove dobavljačima u iznosu od </w:t>
      </w:r>
      <w:r w:rsidR="003316AB" w:rsidRPr="00521712">
        <w:rPr>
          <w:sz w:val="22"/>
          <w:szCs w:val="22"/>
          <w:lang w:val="hr-HR"/>
        </w:rPr>
        <w:t>1.1</w:t>
      </w:r>
      <w:r w:rsidR="008C0B24" w:rsidRPr="00521712">
        <w:rPr>
          <w:sz w:val="22"/>
          <w:szCs w:val="22"/>
          <w:lang w:val="hr-HR"/>
        </w:rPr>
        <w:t>1</w:t>
      </w:r>
      <w:r w:rsidR="003316AB" w:rsidRPr="00521712">
        <w:rPr>
          <w:sz w:val="22"/>
          <w:szCs w:val="22"/>
          <w:lang w:val="hr-HR"/>
        </w:rPr>
        <w:t>1,</w:t>
      </w:r>
      <w:r w:rsidR="008C0B24" w:rsidRPr="00521712">
        <w:rPr>
          <w:sz w:val="22"/>
          <w:szCs w:val="22"/>
          <w:lang w:val="hr-HR"/>
        </w:rPr>
        <w:t>2</w:t>
      </w:r>
      <w:r w:rsidR="003316AB" w:rsidRPr="00521712">
        <w:rPr>
          <w:sz w:val="22"/>
          <w:szCs w:val="22"/>
          <w:lang w:val="hr-HR"/>
        </w:rPr>
        <w:t>6 eura</w:t>
      </w:r>
      <w:r w:rsidR="00013E46" w:rsidRPr="00521712">
        <w:rPr>
          <w:sz w:val="22"/>
          <w:szCs w:val="22"/>
          <w:lang w:val="hr-HR"/>
        </w:rPr>
        <w:t>.</w:t>
      </w:r>
      <w:r w:rsidR="00E254A4" w:rsidRPr="00521712">
        <w:rPr>
          <w:sz w:val="22"/>
          <w:szCs w:val="22"/>
          <w:lang w:val="hr-HR"/>
        </w:rPr>
        <w:t xml:space="preserve"> </w:t>
      </w:r>
    </w:p>
    <w:p w14:paraId="1C834359" w14:textId="77777777" w:rsidR="00EC3644" w:rsidRPr="00521712" w:rsidRDefault="00EC3644" w:rsidP="002F6E76">
      <w:pPr>
        <w:pStyle w:val="ListParagraph"/>
        <w:spacing w:after="0" w:line="360" w:lineRule="auto"/>
        <w:rPr>
          <w:sz w:val="22"/>
          <w:szCs w:val="22"/>
          <w:lang w:val="hr-HR"/>
        </w:rPr>
      </w:pPr>
    </w:p>
    <w:p w14:paraId="72BB5D49" w14:textId="77777777" w:rsidR="00EC3644" w:rsidRPr="00521712" w:rsidRDefault="00AB414F" w:rsidP="002F6E76">
      <w:pPr>
        <w:pStyle w:val="ListParagraph"/>
        <w:numPr>
          <w:ilvl w:val="0"/>
          <w:numId w:val="27"/>
        </w:numPr>
        <w:spacing w:after="0" w:line="360" w:lineRule="auto"/>
        <w:ind w:left="357" w:hanging="357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 xml:space="preserve">Potraživanja za prihode </w:t>
      </w:r>
      <w:r w:rsidR="00FA423C" w:rsidRPr="00521712">
        <w:rPr>
          <w:sz w:val="22"/>
          <w:szCs w:val="22"/>
          <w:lang w:val="hr-HR"/>
        </w:rPr>
        <w:t>poslovanja</w:t>
      </w:r>
      <w:r w:rsidR="00013E46" w:rsidRPr="00521712">
        <w:rPr>
          <w:sz w:val="22"/>
          <w:szCs w:val="22"/>
          <w:lang w:val="hr-HR"/>
        </w:rPr>
        <w:t xml:space="preserve"> Obrazac: BILANCA</w:t>
      </w:r>
      <w:r w:rsidR="00FA423C" w:rsidRPr="00521712">
        <w:rPr>
          <w:sz w:val="22"/>
          <w:szCs w:val="22"/>
          <w:lang w:val="hr-HR"/>
        </w:rPr>
        <w:t xml:space="preserve"> </w:t>
      </w:r>
      <w:r w:rsidR="007B2C24" w:rsidRPr="00521712">
        <w:rPr>
          <w:sz w:val="22"/>
          <w:szCs w:val="22"/>
          <w:lang w:val="hr-HR"/>
        </w:rPr>
        <w:t xml:space="preserve">u iznosu od </w:t>
      </w:r>
      <w:r w:rsidR="00497100" w:rsidRPr="00521712">
        <w:rPr>
          <w:sz w:val="22"/>
          <w:szCs w:val="22"/>
          <w:lang w:val="hr-HR"/>
        </w:rPr>
        <w:t>1</w:t>
      </w:r>
      <w:r w:rsidR="005E00E4" w:rsidRPr="00521712">
        <w:rPr>
          <w:sz w:val="22"/>
          <w:szCs w:val="22"/>
          <w:lang w:val="hr-HR"/>
        </w:rPr>
        <w:t>18</w:t>
      </w:r>
      <w:r w:rsidR="00497100" w:rsidRPr="00521712">
        <w:rPr>
          <w:sz w:val="22"/>
          <w:szCs w:val="22"/>
          <w:lang w:val="hr-HR"/>
        </w:rPr>
        <w:t>.</w:t>
      </w:r>
      <w:r w:rsidR="005E00E4" w:rsidRPr="00521712">
        <w:rPr>
          <w:sz w:val="22"/>
          <w:szCs w:val="22"/>
          <w:lang w:val="hr-HR"/>
        </w:rPr>
        <w:t>937</w:t>
      </w:r>
      <w:r w:rsidR="00497100" w:rsidRPr="00521712">
        <w:rPr>
          <w:sz w:val="22"/>
          <w:szCs w:val="22"/>
          <w:lang w:val="hr-HR"/>
        </w:rPr>
        <w:t>,</w:t>
      </w:r>
      <w:r w:rsidR="005E00E4" w:rsidRPr="00521712">
        <w:rPr>
          <w:sz w:val="22"/>
          <w:szCs w:val="22"/>
          <w:lang w:val="hr-HR"/>
        </w:rPr>
        <w:t>84</w:t>
      </w:r>
      <w:r w:rsidR="00497100" w:rsidRPr="00521712">
        <w:rPr>
          <w:sz w:val="22"/>
          <w:szCs w:val="22"/>
          <w:lang w:val="hr-HR"/>
        </w:rPr>
        <w:t xml:space="preserve"> eura</w:t>
      </w:r>
      <w:r w:rsidR="007B2C24" w:rsidRPr="00521712">
        <w:rPr>
          <w:sz w:val="22"/>
          <w:szCs w:val="22"/>
          <w:lang w:val="hr-HR"/>
        </w:rPr>
        <w:t xml:space="preserve"> </w:t>
      </w:r>
      <w:r w:rsidR="00FA423C" w:rsidRPr="00521712">
        <w:rPr>
          <w:sz w:val="22"/>
          <w:szCs w:val="22"/>
          <w:lang w:val="hr-HR"/>
        </w:rPr>
        <w:t xml:space="preserve">su </w:t>
      </w:r>
      <w:r w:rsidR="007B2C24" w:rsidRPr="00521712">
        <w:rPr>
          <w:sz w:val="22"/>
          <w:szCs w:val="22"/>
          <w:lang w:val="hr-HR"/>
        </w:rPr>
        <w:t>kako slijedi</w:t>
      </w:r>
      <w:r w:rsidR="007B2C24" w:rsidRPr="00521712">
        <w:rPr>
          <w:lang w:val="hr-HR"/>
        </w:rPr>
        <w:t>:</w:t>
      </w:r>
    </w:p>
    <w:p w14:paraId="18F69CF4" w14:textId="77777777" w:rsidR="00006D74" w:rsidRPr="00521712" w:rsidRDefault="00006D74" w:rsidP="00006D74">
      <w:pPr>
        <w:pStyle w:val="ListParagraph"/>
        <w:rPr>
          <w:sz w:val="22"/>
          <w:szCs w:val="22"/>
          <w:lang w:val="hr-HR"/>
        </w:rPr>
      </w:pPr>
    </w:p>
    <w:p w14:paraId="47EFF19D" w14:textId="77777777" w:rsidR="002F6E76" w:rsidRPr="00521712" w:rsidRDefault="002F6E76" w:rsidP="00006D74">
      <w:pPr>
        <w:pStyle w:val="ListParagraph"/>
        <w:rPr>
          <w:sz w:val="22"/>
          <w:szCs w:val="22"/>
          <w:lang w:val="hr-HR"/>
        </w:rPr>
      </w:pPr>
    </w:p>
    <w:p w14:paraId="5B14FDFC" w14:textId="77777777" w:rsidR="002F6E76" w:rsidRPr="00521712" w:rsidRDefault="002F6E76" w:rsidP="00006D74">
      <w:pPr>
        <w:pStyle w:val="ListParagraph"/>
        <w:rPr>
          <w:sz w:val="22"/>
          <w:szCs w:val="22"/>
          <w:lang w:val="hr-HR"/>
        </w:rPr>
      </w:pPr>
    </w:p>
    <w:p w14:paraId="4F60803E" w14:textId="77777777" w:rsidR="002F6E76" w:rsidRPr="00521712" w:rsidRDefault="002F6E76" w:rsidP="00006D74">
      <w:pPr>
        <w:pStyle w:val="ListParagraph"/>
        <w:rPr>
          <w:sz w:val="22"/>
          <w:szCs w:val="22"/>
          <w:lang w:val="hr-HR"/>
        </w:rPr>
      </w:pP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096"/>
        <w:gridCol w:w="1438"/>
      </w:tblGrid>
      <w:tr w:rsidR="00521712" w:rsidRPr="00521712" w14:paraId="6A8EDE43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424A03E" w14:textId="77777777" w:rsidR="00FE07EA" w:rsidRPr="00521712" w:rsidRDefault="00006D74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lastRenderedPageBreak/>
              <w:t>1</w:t>
            </w:r>
            <w:r w:rsidR="00FE07EA" w:rsidRPr="00521712">
              <w:rPr>
                <w:sz w:val="22"/>
                <w:szCs w:val="22"/>
                <w:lang w:val="hr-HR"/>
              </w:rPr>
              <w:t>.1.</w:t>
            </w:r>
          </w:p>
        </w:tc>
        <w:tc>
          <w:tcPr>
            <w:tcW w:w="6096" w:type="dxa"/>
            <w:vAlign w:val="center"/>
          </w:tcPr>
          <w:p w14:paraId="4C243C92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od kupaca po osnovi suradnje s privredom</w:t>
            </w:r>
          </w:p>
        </w:tc>
        <w:tc>
          <w:tcPr>
            <w:tcW w:w="1438" w:type="dxa"/>
            <w:vAlign w:val="center"/>
          </w:tcPr>
          <w:p w14:paraId="253482E9" w14:textId="77777777" w:rsidR="00FE07EA" w:rsidRPr="00521712" w:rsidRDefault="00E65FC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32.944,06</w:t>
            </w:r>
          </w:p>
        </w:tc>
      </w:tr>
      <w:tr w:rsidR="00521712" w:rsidRPr="00521712" w14:paraId="32CC3544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05F1A455" w14:textId="77777777" w:rsidR="00FE07EA" w:rsidRPr="00521712" w:rsidRDefault="00FE07EA" w:rsidP="00DA1A00">
            <w:pPr>
              <w:spacing w:before="60" w:after="0" w:line="360" w:lineRule="auto"/>
              <w:rPr>
                <w:sz w:val="22"/>
                <w:szCs w:val="22"/>
                <w:highlight w:val="yellow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1.2.</w:t>
            </w:r>
          </w:p>
        </w:tc>
        <w:tc>
          <w:tcPr>
            <w:tcW w:w="6096" w:type="dxa"/>
            <w:vAlign w:val="center"/>
          </w:tcPr>
          <w:p w14:paraId="223A0B40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od kupaca po osnovi najma</w:t>
            </w:r>
            <w:r w:rsidR="00803082" w:rsidRPr="00521712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38" w:type="dxa"/>
            <w:vAlign w:val="center"/>
          </w:tcPr>
          <w:p w14:paraId="27CE5CD6" w14:textId="77777777" w:rsidR="00FE07EA" w:rsidRPr="00521712" w:rsidRDefault="00E65FC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11.938,66</w:t>
            </w:r>
          </w:p>
        </w:tc>
      </w:tr>
      <w:tr w:rsidR="00521712" w:rsidRPr="00521712" w14:paraId="29C37358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5F243C08" w14:textId="77777777" w:rsidR="00FE07EA" w:rsidRPr="00521712" w:rsidRDefault="00FE07EA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</w:t>
            </w:r>
            <w:r w:rsidR="00A3418A" w:rsidRPr="00521712">
              <w:rPr>
                <w:sz w:val="22"/>
                <w:szCs w:val="22"/>
                <w:lang w:val="hr-HR"/>
              </w:rPr>
              <w:t>3</w:t>
            </w:r>
            <w:r w:rsidRPr="0052171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0C1FDFF1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po osnovi refundacija</w:t>
            </w:r>
          </w:p>
        </w:tc>
        <w:tc>
          <w:tcPr>
            <w:tcW w:w="1438" w:type="dxa"/>
            <w:vAlign w:val="center"/>
          </w:tcPr>
          <w:p w14:paraId="3DDEDCA5" w14:textId="77777777" w:rsidR="00FE07EA" w:rsidRPr="00521712" w:rsidRDefault="009E71A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630,80</w:t>
            </w:r>
          </w:p>
        </w:tc>
      </w:tr>
      <w:tr w:rsidR="00521712" w:rsidRPr="00521712" w14:paraId="320D71BA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A2CC2CC" w14:textId="77777777" w:rsidR="00FE07EA" w:rsidRPr="00521712" w:rsidRDefault="00FE07EA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</w:t>
            </w:r>
            <w:r w:rsidR="00A3418A" w:rsidRPr="00521712">
              <w:rPr>
                <w:sz w:val="22"/>
                <w:szCs w:val="22"/>
                <w:lang w:val="hr-HR"/>
              </w:rPr>
              <w:t>4</w:t>
            </w:r>
            <w:r w:rsidRPr="0052171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3239DF0E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 xml:space="preserve">Potraživanje </w:t>
            </w:r>
            <w:r w:rsidR="004412F8" w:rsidRPr="00521712">
              <w:rPr>
                <w:sz w:val="22"/>
                <w:szCs w:val="22"/>
                <w:lang w:val="hr-HR"/>
              </w:rPr>
              <w:t>po osnovi međufakultetske suradnje</w:t>
            </w:r>
          </w:p>
        </w:tc>
        <w:tc>
          <w:tcPr>
            <w:tcW w:w="1438" w:type="dxa"/>
            <w:vAlign w:val="center"/>
          </w:tcPr>
          <w:p w14:paraId="712EF8D8" w14:textId="77777777" w:rsidR="00FE07EA" w:rsidRPr="00521712" w:rsidRDefault="009E71A6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21.375,00</w:t>
            </w:r>
          </w:p>
        </w:tc>
      </w:tr>
      <w:tr w:rsidR="00521712" w:rsidRPr="00521712" w14:paraId="01662EF9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8D0BEC4" w14:textId="77777777" w:rsidR="00FE07EA" w:rsidRPr="00521712" w:rsidRDefault="00FE07EA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</w:t>
            </w:r>
            <w:r w:rsidR="00A3418A" w:rsidRPr="00521712">
              <w:rPr>
                <w:sz w:val="22"/>
                <w:szCs w:val="22"/>
                <w:lang w:val="hr-HR"/>
              </w:rPr>
              <w:t>5</w:t>
            </w:r>
            <w:r w:rsidRPr="0052171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0B334903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po osnovi doktorskog studija - elektrotehnike</w:t>
            </w:r>
          </w:p>
        </w:tc>
        <w:tc>
          <w:tcPr>
            <w:tcW w:w="1438" w:type="dxa"/>
            <w:vAlign w:val="center"/>
          </w:tcPr>
          <w:p w14:paraId="4984A978" w14:textId="77777777" w:rsidR="00FE07EA" w:rsidRPr="00521712" w:rsidRDefault="00BA2908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25.084,61</w:t>
            </w:r>
          </w:p>
        </w:tc>
      </w:tr>
      <w:tr w:rsidR="00521712" w:rsidRPr="00521712" w14:paraId="5F43C113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824B9C8" w14:textId="77777777" w:rsidR="00FE07EA" w:rsidRPr="00521712" w:rsidRDefault="00FE07EA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</w:t>
            </w:r>
            <w:r w:rsidR="00A3418A" w:rsidRPr="00521712">
              <w:rPr>
                <w:sz w:val="22"/>
                <w:szCs w:val="22"/>
                <w:lang w:val="hr-HR"/>
              </w:rPr>
              <w:t>6</w:t>
            </w:r>
            <w:r w:rsidRPr="0052171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43F817C2" w14:textId="77777777" w:rsidR="00FE07EA" w:rsidRPr="00521712" w:rsidRDefault="00FE07EA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po osnovi doktorskog studija - strojarstva</w:t>
            </w:r>
          </w:p>
        </w:tc>
        <w:tc>
          <w:tcPr>
            <w:tcW w:w="1438" w:type="dxa"/>
            <w:vAlign w:val="center"/>
          </w:tcPr>
          <w:p w14:paraId="1FB43436" w14:textId="77777777" w:rsidR="00FE07EA" w:rsidRPr="00521712" w:rsidRDefault="00BA2908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16.346,91</w:t>
            </w:r>
          </w:p>
        </w:tc>
      </w:tr>
      <w:tr w:rsidR="00521712" w:rsidRPr="00521712" w14:paraId="07D2D1DB" w14:textId="77777777" w:rsidTr="002F6E76">
        <w:trPr>
          <w:trHeight w:val="373"/>
        </w:trPr>
        <w:tc>
          <w:tcPr>
            <w:tcW w:w="546" w:type="dxa"/>
            <w:vAlign w:val="center"/>
          </w:tcPr>
          <w:p w14:paraId="4552DE5A" w14:textId="77777777" w:rsidR="004412F8" w:rsidRPr="00521712" w:rsidRDefault="004412F8" w:rsidP="00DA1A00">
            <w:pPr>
              <w:spacing w:before="60"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1.</w:t>
            </w:r>
            <w:r w:rsidR="00A3418A" w:rsidRPr="00521712">
              <w:rPr>
                <w:sz w:val="22"/>
                <w:szCs w:val="22"/>
                <w:lang w:val="hr-HR"/>
              </w:rPr>
              <w:t>7</w:t>
            </w:r>
            <w:r w:rsidRPr="00521712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096" w:type="dxa"/>
            <w:vAlign w:val="center"/>
          </w:tcPr>
          <w:p w14:paraId="1729047B" w14:textId="77777777" w:rsidR="004412F8" w:rsidRPr="00521712" w:rsidRDefault="004412F8" w:rsidP="00DA1A00">
            <w:pPr>
              <w:spacing w:after="0" w:line="360" w:lineRule="auto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Potraživanje po osnovi školarina</w:t>
            </w:r>
          </w:p>
        </w:tc>
        <w:tc>
          <w:tcPr>
            <w:tcW w:w="1438" w:type="dxa"/>
            <w:vAlign w:val="center"/>
          </w:tcPr>
          <w:p w14:paraId="1B9D97BC" w14:textId="77777777" w:rsidR="004412F8" w:rsidRPr="00521712" w:rsidRDefault="00562DD2" w:rsidP="00DA1A00">
            <w:pPr>
              <w:spacing w:before="60"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521712">
              <w:rPr>
                <w:sz w:val="22"/>
                <w:szCs w:val="22"/>
                <w:lang w:val="hr-HR"/>
              </w:rPr>
              <w:t>10</w:t>
            </w:r>
            <w:r w:rsidR="00BA2908" w:rsidRPr="00521712">
              <w:rPr>
                <w:sz w:val="22"/>
                <w:szCs w:val="22"/>
                <w:lang w:val="hr-HR"/>
              </w:rPr>
              <w:t>.</w:t>
            </w:r>
            <w:r w:rsidRPr="00521712">
              <w:rPr>
                <w:sz w:val="22"/>
                <w:szCs w:val="22"/>
                <w:lang w:val="hr-HR"/>
              </w:rPr>
              <w:t>617</w:t>
            </w:r>
            <w:r w:rsidR="00BA2908" w:rsidRPr="00521712">
              <w:rPr>
                <w:sz w:val="22"/>
                <w:szCs w:val="22"/>
                <w:lang w:val="hr-HR"/>
              </w:rPr>
              <w:t>,</w:t>
            </w:r>
            <w:r w:rsidRPr="00521712">
              <w:rPr>
                <w:sz w:val="22"/>
                <w:szCs w:val="22"/>
                <w:lang w:val="hr-HR"/>
              </w:rPr>
              <w:t>80</w:t>
            </w:r>
          </w:p>
        </w:tc>
      </w:tr>
      <w:tr w:rsidR="00521712" w:rsidRPr="00521712" w14:paraId="11C79200" w14:textId="77777777" w:rsidTr="002F6E76">
        <w:trPr>
          <w:trHeight w:val="373"/>
        </w:trPr>
        <w:tc>
          <w:tcPr>
            <w:tcW w:w="546" w:type="dxa"/>
            <w:shd w:val="clear" w:color="auto" w:fill="D9D9D9"/>
            <w:vAlign w:val="center"/>
          </w:tcPr>
          <w:p w14:paraId="3DC967C5" w14:textId="77777777" w:rsidR="00FE07EA" w:rsidRPr="00521712" w:rsidRDefault="00FE07EA" w:rsidP="00DA1A00">
            <w:pPr>
              <w:spacing w:before="60" w:after="0" w:line="360" w:lineRule="auto"/>
              <w:rPr>
                <w:b/>
                <w:bCs/>
                <w:sz w:val="22"/>
                <w:szCs w:val="22"/>
                <w:lang w:val="hr-HR"/>
              </w:rPr>
            </w:pPr>
            <w:r w:rsidRPr="00521712">
              <w:rPr>
                <w:b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6096" w:type="dxa"/>
            <w:shd w:val="clear" w:color="auto" w:fill="D9D9D9"/>
          </w:tcPr>
          <w:p w14:paraId="729EC6A8" w14:textId="77777777" w:rsidR="00FE07EA" w:rsidRPr="00521712" w:rsidRDefault="00FE07EA" w:rsidP="00DA1A00">
            <w:pPr>
              <w:spacing w:before="60" w:after="0" w:line="360" w:lineRule="auto"/>
              <w:rPr>
                <w:b/>
                <w:bCs/>
                <w:sz w:val="22"/>
                <w:szCs w:val="22"/>
                <w:lang w:val="hr-HR"/>
              </w:rPr>
            </w:pPr>
            <w:r w:rsidRPr="00521712">
              <w:rPr>
                <w:b/>
                <w:bCs/>
                <w:sz w:val="22"/>
                <w:szCs w:val="22"/>
                <w:lang w:val="hr-HR"/>
              </w:rPr>
              <w:t xml:space="preserve">Ukupna potraživanja </w:t>
            </w:r>
          </w:p>
        </w:tc>
        <w:tc>
          <w:tcPr>
            <w:tcW w:w="1438" w:type="dxa"/>
            <w:shd w:val="clear" w:color="auto" w:fill="D9D9D9"/>
          </w:tcPr>
          <w:p w14:paraId="50380FEB" w14:textId="77777777" w:rsidR="00FE07EA" w:rsidRPr="00521712" w:rsidRDefault="0016360E" w:rsidP="00DA1A00">
            <w:pPr>
              <w:spacing w:before="60"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521712">
              <w:rPr>
                <w:b/>
                <w:bCs/>
                <w:sz w:val="22"/>
                <w:szCs w:val="22"/>
                <w:lang w:val="hr-HR"/>
              </w:rPr>
              <w:t>118.937,84</w:t>
            </w:r>
          </w:p>
        </w:tc>
      </w:tr>
    </w:tbl>
    <w:p w14:paraId="3038C57F" w14:textId="77777777" w:rsidR="00FE07EA" w:rsidRPr="00521712" w:rsidRDefault="00FE07EA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</w:p>
    <w:p w14:paraId="0CFD5528" w14:textId="77777777" w:rsidR="00FE07EA" w:rsidRPr="00521712" w:rsidRDefault="00CB0578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U skladu s izmjenama i dopunama Pravilnika o proračunskom računovodstvu (NN 3/2018)</w:t>
      </w:r>
      <w:r w:rsidR="009B0A5D" w:rsidRPr="00521712">
        <w:rPr>
          <w:sz w:val="22"/>
          <w:szCs w:val="22"/>
          <w:lang w:val="hr-HR"/>
        </w:rPr>
        <w:t xml:space="preserve"> izvršen je ispravak vrijednosti potraživanja u iznosu od </w:t>
      </w:r>
      <w:r w:rsidR="009E71A6" w:rsidRPr="00521712">
        <w:rPr>
          <w:sz w:val="22"/>
          <w:szCs w:val="22"/>
          <w:lang w:val="hr-HR"/>
        </w:rPr>
        <w:t>6.093,56 eura</w:t>
      </w:r>
      <w:r w:rsidR="009B0A5D" w:rsidRPr="00521712">
        <w:rPr>
          <w:sz w:val="22"/>
          <w:szCs w:val="22"/>
          <w:lang w:val="hr-HR"/>
        </w:rPr>
        <w:t xml:space="preserve">. </w:t>
      </w:r>
      <w:r w:rsidR="00C7661C" w:rsidRPr="00521712">
        <w:rPr>
          <w:sz w:val="22"/>
          <w:szCs w:val="22"/>
          <w:lang w:val="hr-HR"/>
        </w:rPr>
        <w:t>Ispravak vrijednosti potraživanja proveden je uzimajući u obzir kašnjenje u naplati preko godine dana i pokretanje stečajnog i/ili likvidacijskog postupka nad dužnikom.</w:t>
      </w:r>
    </w:p>
    <w:p w14:paraId="6DB8A5F6" w14:textId="77777777" w:rsidR="00C7661C" w:rsidRPr="00521712" w:rsidRDefault="00C7661C" w:rsidP="00461DDB">
      <w:pPr>
        <w:pStyle w:val="ListParagraph"/>
        <w:spacing w:line="276" w:lineRule="auto"/>
        <w:ind w:left="426" w:firstLine="0"/>
        <w:rPr>
          <w:sz w:val="22"/>
          <w:szCs w:val="22"/>
          <w:lang w:val="hr-HR"/>
        </w:rPr>
      </w:pPr>
    </w:p>
    <w:p w14:paraId="5FC3C4AD" w14:textId="77777777" w:rsidR="00FE07EA" w:rsidRPr="00521712" w:rsidRDefault="00FE07EA" w:rsidP="00461DDB">
      <w:pPr>
        <w:pStyle w:val="ListParagraph"/>
        <w:numPr>
          <w:ilvl w:val="0"/>
          <w:numId w:val="36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Potraživanja od prodaje nefinancijske imovine</w:t>
      </w:r>
      <w:r w:rsidR="003B21EC" w:rsidRPr="00521712">
        <w:rPr>
          <w:sz w:val="22"/>
          <w:szCs w:val="22"/>
          <w:lang w:val="hr-HR"/>
        </w:rPr>
        <w:t xml:space="preserve"> Obrazac: BILANCA</w:t>
      </w:r>
      <w:r w:rsidRPr="00521712">
        <w:rPr>
          <w:sz w:val="22"/>
          <w:szCs w:val="22"/>
          <w:lang w:val="hr-HR"/>
        </w:rPr>
        <w:t xml:space="preserve"> u iznosu od </w:t>
      </w:r>
      <w:r w:rsidR="00D11F05" w:rsidRPr="00521712">
        <w:rPr>
          <w:sz w:val="22"/>
          <w:szCs w:val="22"/>
          <w:lang w:val="hr-HR"/>
        </w:rPr>
        <w:t>9</w:t>
      </w:r>
      <w:r w:rsidR="007A6C0F" w:rsidRPr="00521712">
        <w:rPr>
          <w:sz w:val="22"/>
          <w:szCs w:val="22"/>
          <w:lang w:val="hr-HR"/>
        </w:rPr>
        <w:t>2</w:t>
      </w:r>
      <w:r w:rsidR="00D11F05" w:rsidRPr="00521712">
        <w:rPr>
          <w:sz w:val="22"/>
          <w:szCs w:val="22"/>
          <w:lang w:val="hr-HR"/>
        </w:rPr>
        <w:t>,</w:t>
      </w:r>
      <w:r w:rsidR="007A6C0F" w:rsidRPr="00521712">
        <w:rPr>
          <w:sz w:val="22"/>
          <w:szCs w:val="22"/>
          <w:lang w:val="hr-HR"/>
        </w:rPr>
        <w:t>51</w:t>
      </w:r>
      <w:r w:rsidR="00D11F05" w:rsidRPr="00521712">
        <w:rPr>
          <w:sz w:val="22"/>
          <w:szCs w:val="22"/>
          <w:lang w:val="hr-HR"/>
        </w:rPr>
        <w:t xml:space="preserve"> eura</w:t>
      </w:r>
      <w:r w:rsidRPr="00521712">
        <w:rPr>
          <w:sz w:val="22"/>
          <w:szCs w:val="22"/>
          <w:lang w:val="hr-HR"/>
        </w:rPr>
        <w:t xml:space="preserve"> odnose se na potraživanja po osnovu prodaje knjiga naše izdavačke djelatnosti.</w:t>
      </w:r>
    </w:p>
    <w:p w14:paraId="745D19DB" w14:textId="77777777" w:rsidR="00BB66AC" w:rsidRPr="00521712" w:rsidRDefault="00BB66AC" w:rsidP="00BB66AC">
      <w:pPr>
        <w:pStyle w:val="ListParagraph"/>
        <w:rPr>
          <w:sz w:val="22"/>
          <w:szCs w:val="22"/>
          <w:lang w:val="hr-HR"/>
        </w:rPr>
      </w:pPr>
    </w:p>
    <w:p w14:paraId="32B5CDD0" w14:textId="77777777" w:rsidR="00FE07EA" w:rsidRPr="00521712" w:rsidRDefault="001911E9" w:rsidP="00461DDB">
      <w:pPr>
        <w:pStyle w:val="ListParagraph"/>
        <w:numPr>
          <w:ilvl w:val="0"/>
          <w:numId w:val="36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521712">
        <w:rPr>
          <w:sz w:val="22"/>
          <w:szCs w:val="22"/>
          <w:lang w:val="hr-HR"/>
        </w:rPr>
        <w:t>Kontinuirani r</w:t>
      </w:r>
      <w:r w:rsidR="00FE07EA" w:rsidRPr="00521712">
        <w:rPr>
          <w:sz w:val="22"/>
          <w:szCs w:val="22"/>
          <w:lang w:val="hr-HR"/>
        </w:rPr>
        <w:t>ashodi budućih razdoblja</w:t>
      </w:r>
      <w:r w:rsidR="003B21EC" w:rsidRPr="00521712">
        <w:rPr>
          <w:sz w:val="22"/>
          <w:szCs w:val="22"/>
          <w:lang w:val="hr-HR"/>
        </w:rPr>
        <w:t xml:space="preserve"> Obrazac: BILANCA</w:t>
      </w:r>
      <w:r w:rsidR="00FE07EA" w:rsidRPr="00521712">
        <w:rPr>
          <w:sz w:val="22"/>
          <w:szCs w:val="22"/>
          <w:lang w:val="hr-HR"/>
        </w:rPr>
        <w:t xml:space="preserve"> </w:t>
      </w:r>
      <w:r w:rsidR="003B21EC" w:rsidRPr="00521712">
        <w:rPr>
          <w:sz w:val="22"/>
          <w:szCs w:val="22"/>
          <w:lang w:val="hr-HR"/>
        </w:rPr>
        <w:t xml:space="preserve">se </w:t>
      </w:r>
      <w:r w:rsidR="00FE07EA" w:rsidRPr="00521712">
        <w:rPr>
          <w:sz w:val="22"/>
          <w:szCs w:val="22"/>
          <w:lang w:val="hr-HR"/>
        </w:rPr>
        <w:t>odnose na razgraničenje troškova plaća</w:t>
      </w:r>
      <w:r w:rsidR="009B5E2F" w:rsidRPr="00521712">
        <w:rPr>
          <w:sz w:val="22"/>
          <w:szCs w:val="22"/>
          <w:lang w:val="hr-HR"/>
        </w:rPr>
        <w:t xml:space="preserve"> i prijevoza zaposlenika</w:t>
      </w:r>
      <w:r w:rsidR="00FE07EA" w:rsidRPr="00521712">
        <w:rPr>
          <w:sz w:val="22"/>
          <w:szCs w:val="22"/>
          <w:lang w:val="hr-HR"/>
        </w:rPr>
        <w:t xml:space="preserve">, </w:t>
      </w:r>
      <w:r w:rsidR="009B5E2F" w:rsidRPr="00521712">
        <w:rPr>
          <w:sz w:val="22"/>
          <w:szCs w:val="22"/>
          <w:lang w:val="hr-HR"/>
        </w:rPr>
        <w:t xml:space="preserve">kao i </w:t>
      </w:r>
      <w:r w:rsidR="00FE07EA" w:rsidRPr="00521712">
        <w:rPr>
          <w:sz w:val="22"/>
          <w:szCs w:val="22"/>
          <w:lang w:val="hr-HR"/>
        </w:rPr>
        <w:t>jubilarnih nagrada</w:t>
      </w:r>
      <w:r w:rsidR="009B5E2F" w:rsidRPr="00521712">
        <w:rPr>
          <w:sz w:val="22"/>
          <w:szCs w:val="22"/>
          <w:lang w:val="hr-HR"/>
        </w:rPr>
        <w:t xml:space="preserve"> i ostalih materijalnih prava</w:t>
      </w:r>
      <w:r w:rsidR="00FE07EA" w:rsidRPr="00521712">
        <w:rPr>
          <w:sz w:val="22"/>
          <w:szCs w:val="22"/>
          <w:lang w:val="hr-HR"/>
        </w:rPr>
        <w:t xml:space="preserve"> za prosinac, koji će biti isplaćeni u siječnju 20</w:t>
      </w:r>
      <w:r w:rsidR="00AD6E7D" w:rsidRPr="00521712">
        <w:rPr>
          <w:sz w:val="22"/>
          <w:szCs w:val="22"/>
          <w:lang w:val="hr-HR"/>
        </w:rPr>
        <w:t>2</w:t>
      </w:r>
      <w:r w:rsidR="00D11F05" w:rsidRPr="00521712">
        <w:rPr>
          <w:sz w:val="22"/>
          <w:szCs w:val="22"/>
          <w:lang w:val="hr-HR"/>
        </w:rPr>
        <w:t>4</w:t>
      </w:r>
      <w:r w:rsidR="00FE07EA" w:rsidRPr="00521712">
        <w:rPr>
          <w:sz w:val="22"/>
          <w:szCs w:val="22"/>
          <w:lang w:val="hr-HR"/>
        </w:rPr>
        <w:t xml:space="preserve">. g. u iznosu od </w:t>
      </w:r>
      <w:r w:rsidR="00E32274" w:rsidRPr="00521712">
        <w:rPr>
          <w:sz w:val="22"/>
          <w:szCs w:val="22"/>
          <w:lang w:val="hr-HR"/>
        </w:rPr>
        <w:t>648.772,12 eura</w:t>
      </w:r>
      <w:r w:rsidR="00FE07EA" w:rsidRPr="00521712">
        <w:rPr>
          <w:sz w:val="22"/>
          <w:szCs w:val="22"/>
          <w:lang w:val="hr-HR"/>
        </w:rPr>
        <w:t>.</w:t>
      </w:r>
    </w:p>
    <w:p w14:paraId="03A563BB" w14:textId="77777777" w:rsidR="00BB66AC" w:rsidRPr="00EF6335" w:rsidRDefault="00BB66AC" w:rsidP="00BB66AC">
      <w:pPr>
        <w:pStyle w:val="ListParagraph"/>
        <w:rPr>
          <w:sz w:val="22"/>
          <w:szCs w:val="22"/>
          <w:lang w:val="hr-HR"/>
        </w:rPr>
      </w:pPr>
    </w:p>
    <w:p w14:paraId="7AEFB520" w14:textId="77777777" w:rsidR="00FE07EA" w:rsidRPr="00461CFA" w:rsidRDefault="00FE07EA" w:rsidP="00461DDB">
      <w:pPr>
        <w:pStyle w:val="ListParagraph"/>
        <w:numPr>
          <w:ilvl w:val="0"/>
          <w:numId w:val="27"/>
        </w:numPr>
        <w:spacing w:line="276" w:lineRule="auto"/>
        <w:ind w:left="357" w:hanging="357"/>
        <w:rPr>
          <w:sz w:val="22"/>
          <w:szCs w:val="22"/>
          <w:lang w:val="hr-HR"/>
        </w:rPr>
      </w:pPr>
      <w:r w:rsidRPr="00461CFA">
        <w:rPr>
          <w:sz w:val="22"/>
          <w:szCs w:val="22"/>
          <w:lang w:val="hr-HR"/>
        </w:rPr>
        <w:t xml:space="preserve">Obveze </w:t>
      </w:r>
      <w:r w:rsidR="002E34D1" w:rsidRPr="00461CFA">
        <w:rPr>
          <w:sz w:val="22"/>
          <w:szCs w:val="22"/>
          <w:lang w:val="hr-HR"/>
        </w:rPr>
        <w:t xml:space="preserve">Obrazac: BILANCA </w:t>
      </w:r>
      <w:r w:rsidRPr="00461CFA">
        <w:rPr>
          <w:sz w:val="22"/>
          <w:szCs w:val="22"/>
          <w:lang w:val="hr-HR"/>
        </w:rPr>
        <w:t xml:space="preserve">u iznosu od </w:t>
      </w:r>
      <w:r w:rsidR="00D441E4" w:rsidRPr="00461CFA">
        <w:rPr>
          <w:sz w:val="22"/>
          <w:szCs w:val="22"/>
          <w:lang w:val="hr-HR"/>
        </w:rPr>
        <w:t>905.968,27 eura</w:t>
      </w:r>
      <w:r w:rsidR="002E34D1" w:rsidRPr="00461CFA">
        <w:rPr>
          <w:sz w:val="22"/>
          <w:szCs w:val="22"/>
          <w:lang w:val="hr-HR"/>
        </w:rPr>
        <w:t xml:space="preserve"> n</w:t>
      </w:r>
      <w:r w:rsidRPr="00461CFA">
        <w:rPr>
          <w:sz w:val="22"/>
          <w:szCs w:val="22"/>
          <w:lang w:val="hr-HR"/>
        </w:rPr>
        <w:t>a računu skupine 23 obveze za  rashode poslovanja i 24 obveze za nabavu nefinancijske imovine evidentirane su slijedeće obveze:</w:t>
      </w:r>
    </w:p>
    <w:p w14:paraId="590495AB" w14:textId="77777777" w:rsidR="00FE07EA" w:rsidRPr="00461CFA" w:rsidRDefault="00FE07EA" w:rsidP="00461DDB">
      <w:pPr>
        <w:pStyle w:val="ListParagraph"/>
        <w:spacing w:line="276" w:lineRule="auto"/>
        <w:rPr>
          <w:sz w:val="22"/>
          <w:szCs w:val="22"/>
          <w:lang w:val="hr-HR"/>
        </w:rPr>
      </w:pPr>
    </w:p>
    <w:p w14:paraId="1FEEA381" w14:textId="77777777" w:rsidR="00FE07EA" w:rsidRPr="00727381" w:rsidRDefault="00FE07EA" w:rsidP="00461DDB">
      <w:pPr>
        <w:tabs>
          <w:tab w:val="left" w:pos="142"/>
        </w:tabs>
        <w:spacing w:line="276" w:lineRule="auto"/>
        <w:ind w:left="426" w:firstLine="0"/>
        <w:rPr>
          <w:sz w:val="22"/>
          <w:szCs w:val="22"/>
          <w:u w:val="single"/>
          <w:lang w:val="hr-HR"/>
        </w:rPr>
      </w:pPr>
      <w:r w:rsidRPr="00727381">
        <w:rPr>
          <w:sz w:val="22"/>
          <w:szCs w:val="22"/>
          <w:u w:val="single"/>
          <w:lang w:val="hr-HR"/>
        </w:rPr>
        <w:t xml:space="preserve">Obveze za zaposlene </w:t>
      </w:r>
    </w:p>
    <w:p w14:paraId="2103524C" w14:textId="77777777" w:rsidR="00FE07EA" w:rsidRPr="00727381" w:rsidRDefault="00FE07EA" w:rsidP="002F6E76">
      <w:pPr>
        <w:spacing w:before="240" w:line="276" w:lineRule="auto"/>
        <w:ind w:left="0" w:firstLine="0"/>
        <w:rPr>
          <w:sz w:val="22"/>
          <w:szCs w:val="22"/>
          <w:lang w:val="hr-HR"/>
        </w:rPr>
      </w:pPr>
      <w:r w:rsidRPr="00727381">
        <w:rPr>
          <w:sz w:val="22"/>
          <w:szCs w:val="22"/>
          <w:lang w:val="hr-HR"/>
        </w:rPr>
        <w:t xml:space="preserve">Evidentirane obveze prema zaposlenima na računu 231 u ukupnoj svoti od </w:t>
      </w:r>
      <w:r w:rsidR="00BC7894" w:rsidRPr="00727381">
        <w:rPr>
          <w:sz w:val="22"/>
          <w:szCs w:val="22"/>
          <w:lang w:val="hr-HR"/>
        </w:rPr>
        <w:t>645.582,05 eura</w:t>
      </w:r>
      <w:r w:rsidRPr="00727381">
        <w:rPr>
          <w:sz w:val="22"/>
          <w:szCs w:val="22"/>
          <w:lang w:val="hr-HR"/>
        </w:rPr>
        <w:t xml:space="preserve"> se odnose na plaće</w:t>
      </w:r>
      <w:r w:rsidR="00BC0B26" w:rsidRPr="00727381">
        <w:rPr>
          <w:sz w:val="22"/>
          <w:szCs w:val="22"/>
          <w:lang w:val="hr-HR"/>
        </w:rPr>
        <w:t>,</w:t>
      </w:r>
      <w:r w:rsidRPr="00727381">
        <w:rPr>
          <w:sz w:val="22"/>
          <w:szCs w:val="22"/>
          <w:lang w:val="hr-HR"/>
        </w:rPr>
        <w:t xml:space="preserve"> </w:t>
      </w:r>
      <w:r w:rsidR="00310D5C" w:rsidRPr="00727381">
        <w:rPr>
          <w:sz w:val="22"/>
          <w:szCs w:val="22"/>
          <w:lang w:val="hr-HR"/>
        </w:rPr>
        <w:t>jubilarne nagrade</w:t>
      </w:r>
      <w:r w:rsidR="00BC0B26" w:rsidRPr="00727381">
        <w:rPr>
          <w:sz w:val="22"/>
          <w:szCs w:val="22"/>
          <w:lang w:val="hr-HR"/>
        </w:rPr>
        <w:t xml:space="preserve"> i ostala materijalna prava</w:t>
      </w:r>
      <w:r w:rsidR="00310D5C" w:rsidRPr="00727381">
        <w:rPr>
          <w:sz w:val="22"/>
          <w:szCs w:val="22"/>
          <w:lang w:val="hr-HR"/>
        </w:rPr>
        <w:t xml:space="preserve"> </w:t>
      </w:r>
      <w:r w:rsidRPr="00727381">
        <w:rPr>
          <w:sz w:val="22"/>
          <w:szCs w:val="22"/>
          <w:lang w:val="hr-HR"/>
        </w:rPr>
        <w:t>za prosinac 20</w:t>
      </w:r>
      <w:r w:rsidR="0067033B" w:rsidRPr="00727381">
        <w:rPr>
          <w:sz w:val="22"/>
          <w:szCs w:val="22"/>
          <w:lang w:val="hr-HR"/>
        </w:rPr>
        <w:t>2</w:t>
      </w:r>
      <w:r w:rsidR="00BC7894" w:rsidRPr="00727381">
        <w:rPr>
          <w:sz w:val="22"/>
          <w:szCs w:val="22"/>
          <w:lang w:val="hr-HR"/>
        </w:rPr>
        <w:t>3</w:t>
      </w:r>
      <w:r w:rsidRPr="00727381">
        <w:rPr>
          <w:sz w:val="22"/>
          <w:szCs w:val="22"/>
          <w:lang w:val="hr-HR"/>
        </w:rPr>
        <w:t xml:space="preserve">.godine. </w:t>
      </w:r>
    </w:p>
    <w:p w14:paraId="1778FD90" w14:textId="77777777" w:rsidR="00FE07EA" w:rsidRPr="00727381" w:rsidRDefault="00FE07EA" w:rsidP="002F6E76">
      <w:pPr>
        <w:spacing w:line="276" w:lineRule="auto"/>
        <w:ind w:left="0" w:firstLine="0"/>
        <w:rPr>
          <w:sz w:val="22"/>
          <w:szCs w:val="22"/>
          <w:lang w:val="hr-HR"/>
        </w:rPr>
      </w:pPr>
      <w:r w:rsidRPr="00727381">
        <w:rPr>
          <w:sz w:val="22"/>
          <w:szCs w:val="22"/>
          <w:lang w:val="hr-HR"/>
        </w:rPr>
        <w:t xml:space="preserve">Obveze za zaposlene na kraju godine iskazane su u glavnoj knjizi na teret računa skupine </w:t>
      </w:r>
      <w:r w:rsidR="00310D5C" w:rsidRPr="00727381">
        <w:rPr>
          <w:sz w:val="22"/>
          <w:szCs w:val="22"/>
          <w:lang w:val="hr-HR"/>
        </w:rPr>
        <w:t>193</w:t>
      </w:r>
      <w:r w:rsidRPr="00727381">
        <w:rPr>
          <w:sz w:val="22"/>
          <w:szCs w:val="22"/>
          <w:lang w:val="hr-HR"/>
        </w:rPr>
        <w:t xml:space="preserve"> i predstavljaju rashod budućeg razdoblja odnosno 20</w:t>
      </w:r>
      <w:r w:rsidR="000F4B3B" w:rsidRPr="00727381">
        <w:rPr>
          <w:sz w:val="22"/>
          <w:szCs w:val="22"/>
          <w:lang w:val="hr-HR"/>
        </w:rPr>
        <w:t>2</w:t>
      </w:r>
      <w:r w:rsidR="00793511" w:rsidRPr="00727381">
        <w:rPr>
          <w:sz w:val="22"/>
          <w:szCs w:val="22"/>
          <w:lang w:val="hr-HR"/>
        </w:rPr>
        <w:t>4</w:t>
      </w:r>
      <w:r w:rsidRPr="00727381">
        <w:rPr>
          <w:sz w:val="22"/>
          <w:szCs w:val="22"/>
          <w:lang w:val="hr-HR"/>
        </w:rPr>
        <w:t>.g.</w:t>
      </w:r>
    </w:p>
    <w:p w14:paraId="17A42986" w14:textId="77777777" w:rsidR="00FE07EA" w:rsidRPr="00EF6335" w:rsidRDefault="00FE07EA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0FD9B39A" w14:textId="77777777" w:rsidR="00FE07EA" w:rsidRPr="00727381" w:rsidRDefault="00FE07EA" w:rsidP="00461DDB">
      <w:pPr>
        <w:keepNext/>
        <w:spacing w:line="276" w:lineRule="auto"/>
        <w:ind w:firstLine="68"/>
        <w:rPr>
          <w:sz w:val="22"/>
          <w:szCs w:val="22"/>
          <w:u w:val="single"/>
          <w:lang w:val="hr-HR"/>
        </w:rPr>
      </w:pPr>
      <w:r w:rsidRPr="00727381">
        <w:rPr>
          <w:sz w:val="22"/>
          <w:szCs w:val="22"/>
          <w:u w:val="single"/>
          <w:lang w:val="hr-HR"/>
        </w:rPr>
        <w:t xml:space="preserve">Obveze za materijalne rashode </w:t>
      </w:r>
    </w:p>
    <w:p w14:paraId="2DCBDE15" w14:textId="77777777" w:rsidR="00FE07EA" w:rsidRPr="00727381" w:rsidRDefault="00FE07EA" w:rsidP="00430888">
      <w:pPr>
        <w:spacing w:before="240" w:after="0" w:line="360" w:lineRule="auto"/>
        <w:ind w:left="0" w:firstLine="0"/>
        <w:rPr>
          <w:sz w:val="22"/>
          <w:szCs w:val="22"/>
          <w:lang w:val="hr-HR"/>
        </w:rPr>
      </w:pPr>
      <w:r w:rsidRPr="00727381">
        <w:rPr>
          <w:sz w:val="22"/>
          <w:szCs w:val="22"/>
          <w:lang w:val="hr-HR"/>
        </w:rPr>
        <w:t xml:space="preserve">Evidentirane su obveze prema dobavljačima na računu 232 u ukupnoj svoti od </w:t>
      </w:r>
      <w:r w:rsidR="00BC7894" w:rsidRPr="00727381">
        <w:rPr>
          <w:sz w:val="22"/>
          <w:szCs w:val="22"/>
          <w:lang w:val="hr-HR"/>
        </w:rPr>
        <w:t>99.609,20 eura</w:t>
      </w:r>
      <w:r w:rsidRPr="00727381">
        <w:rPr>
          <w:sz w:val="22"/>
          <w:szCs w:val="22"/>
          <w:lang w:val="hr-HR"/>
        </w:rPr>
        <w:t>.</w:t>
      </w:r>
    </w:p>
    <w:p w14:paraId="01139BE2" w14:textId="77777777" w:rsidR="00FE07EA" w:rsidRPr="00727381" w:rsidRDefault="00FE07EA" w:rsidP="00430888">
      <w:pPr>
        <w:spacing w:after="0" w:line="360" w:lineRule="auto"/>
        <w:ind w:left="0" w:firstLine="0"/>
        <w:rPr>
          <w:sz w:val="22"/>
          <w:szCs w:val="22"/>
          <w:lang w:val="hr-HR"/>
        </w:rPr>
      </w:pPr>
      <w:r w:rsidRPr="00727381">
        <w:rPr>
          <w:sz w:val="22"/>
          <w:szCs w:val="22"/>
          <w:lang w:val="hr-HR"/>
        </w:rPr>
        <w:t>Obveze za materijalne rashode na kraju godine iskazane su u glavnoj knjizi na teret računa skupine 32 rashod 20</w:t>
      </w:r>
      <w:r w:rsidR="0091530C" w:rsidRPr="00727381">
        <w:rPr>
          <w:sz w:val="22"/>
          <w:szCs w:val="22"/>
          <w:lang w:val="hr-HR"/>
        </w:rPr>
        <w:t>2</w:t>
      </w:r>
      <w:r w:rsidR="00BC7894" w:rsidRPr="00727381">
        <w:rPr>
          <w:sz w:val="22"/>
          <w:szCs w:val="22"/>
          <w:lang w:val="hr-HR"/>
        </w:rPr>
        <w:t>3</w:t>
      </w:r>
      <w:r w:rsidRPr="00727381">
        <w:rPr>
          <w:sz w:val="22"/>
          <w:szCs w:val="22"/>
          <w:lang w:val="hr-HR"/>
        </w:rPr>
        <w:t>.</w:t>
      </w:r>
    </w:p>
    <w:p w14:paraId="684FCED1" w14:textId="77777777" w:rsidR="006C4F7C" w:rsidRDefault="006C4F7C" w:rsidP="00461DDB">
      <w:pPr>
        <w:pStyle w:val="ListParagraph"/>
        <w:spacing w:line="276" w:lineRule="auto"/>
        <w:rPr>
          <w:sz w:val="22"/>
          <w:szCs w:val="22"/>
          <w:lang w:val="hr-HR"/>
        </w:rPr>
      </w:pPr>
    </w:p>
    <w:p w14:paraId="58BE1E16" w14:textId="77777777" w:rsidR="002F6E76" w:rsidRPr="00EF6335" w:rsidRDefault="002F6E76" w:rsidP="002F6E76">
      <w:pPr>
        <w:pStyle w:val="ListParagraph"/>
        <w:spacing w:line="276" w:lineRule="auto"/>
        <w:ind w:left="0" w:firstLine="0"/>
        <w:rPr>
          <w:sz w:val="22"/>
          <w:szCs w:val="22"/>
          <w:lang w:val="hr-HR"/>
        </w:rPr>
      </w:pPr>
    </w:p>
    <w:p w14:paraId="10952875" w14:textId="77777777" w:rsidR="00F06772" w:rsidRPr="001B1CD8" w:rsidRDefault="00F06772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  <w:r w:rsidRPr="001B1CD8">
        <w:rPr>
          <w:sz w:val="22"/>
          <w:szCs w:val="22"/>
          <w:u w:val="single"/>
          <w:lang w:val="hr-HR"/>
        </w:rPr>
        <w:lastRenderedPageBreak/>
        <w:t>Ostale tekuće obveze</w:t>
      </w:r>
    </w:p>
    <w:p w14:paraId="453DCAA6" w14:textId="77777777" w:rsidR="00F06772" w:rsidRPr="001B1CD8" w:rsidRDefault="00F06772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1B1CD8">
        <w:rPr>
          <w:sz w:val="22"/>
          <w:szCs w:val="22"/>
          <w:lang w:val="hr-HR"/>
        </w:rPr>
        <w:t xml:space="preserve">Ostale tekuće obveze knjižene na računu 239 iznose </w:t>
      </w:r>
      <w:r w:rsidR="008152A3" w:rsidRPr="001B1CD8">
        <w:rPr>
          <w:sz w:val="22"/>
          <w:szCs w:val="22"/>
          <w:lang w:val="hr-HR"/>
        </w:rPr>
        <w:t>152.721,87 eura</w:t>
      </w:r>
      <w:r w:rsidRPr="001B1CD8">
        <w:rPr>
          <w:sz w:val="22"/>
          <w:szCs w:val="22"/>
          <w:lang w:val="hr-HR"/>
        </w:rPr>
        <w:t xml:space="preserve">. Iskazano je stanje obveza prema državnoj riznici nakon refundiranja bolovanja iznad 42 dana i ostalih bolovanja na teret HZZO u iznosu od </w:t>
      </w:r>
      <w:r w:rsidR="008152A3" w:rsidRPr="001B1CD8">
        <w:rPr>
          <w:sz w:val="22"/>
          <w:szCs w:val="22"/>
          <w:lang w:val="hr-HR"/>
        </w:rPr>
        <w:t>8.371,09 eura</w:t>
      </w:r>
      <w:r w:rsidRPr="001B1CD8">
        <w:rPr>
          <w:sz w:val="22"/>
          <w:szCs w:val="22"/>
          <w:lang w:val="hr-HR"/>
        </w:rPr>
        <w:t xml:space="preserve">, </w:t>
      </w:r>
      <w:r w:rsidR="00EF5558" w:rsidRPr="001B1CD8">
        <w:rPr>
          <w:sz w:val="22"/>
          <w:szCs w:val="22"/>
          <w:lang w:val="hr-HR"/>
        </w:rPr>
        <w:t>obvezama po primljenim jamčevinama</w:t>
      </w:r>
      <w:r w:rsidR="00313081" w:rsidRPr="001B1CD8">
        <w:rPr>
          <w:sz w:val="22"/>
          <w:szCs w:val="22"/>
          <w:lang w:val="hr-HR"/>
        </w:rPr>
        <w:t xml:space="preserve"> u iznosu od</w:t>
      </w:r>
      <w:r w:rsidR="00027E37" w:rsidRPr="001B1CD8">
        <w:rPr>
          <w:sz w:val="22"/>
          <w:szCs w:val="22"/>
          <w:lang w:val="hr-HR"/>
        </w:rPr>
        <w:t xml:space="preserve"> </w:t>
      </w:r>
      <w:r w:rsidR="008152A3" w:rsidRPr="001B1CD8">
        <w:rPr>
          <w:sz w:val="22"/>
          <w:szCs w:val="22"/>
          <w:lang w:val="hr-HR"/>
        </w:rPr>
        <w:t>404,81 eura</w:t>
      </w:r>
      <w:r w:rsidR="00EF5558" w:rsidRPr="001B1CD8">
        <w:rPr>
          <w:sz w:val="22"/>
          <w:szCs w:val="22"/>
          <w:lang w:val="hr-HR"/>
        </w:rPr>
        <w:t xml:space="preserve"> novčanog pologa primljenog kao osiguranje urednog ispunjenja Ugovora po predmetu nabave </w:t>
      </w:r>
      <w:r w:rsidR="007010DD" w:rsidRPr="001B1CD8">
        <w:rPr>
          <w:sz w:val="22"/>
          <w:szCs w:val="22"/>
          <w:lang w:val="hr-HR"/>
        </w:rPr>
        <w:t>Opreme za analizu vibracija za EU projekte CEKOM (IRI 1 i IRI 2)</w:t>
      </w:r>
      <w:r w:rsidR="00313081" w:rsidRPr="001B1CD8">
        <w:rPr>
          <w:sz w:val="22"/>
          <w:szCs w:val="22"/>
          <w:lang w:val="hr-HR"/>
        </w:rPr>
        <w:t>,</w:t>
      </w:r>
      <w:r w:rsidR="002970B8" w:rsidRPr="001B1CD8">
        <w:rPr>
          <w:sz w:val="22"/>
          <w:szCs w:val="22"/>
          <w:lang w:val="hr-HR"/>
        </w:rPr>
        <w:t xml:space="preserve"> </w:t>
      </w:r>
      <w:r w:rsidRPr="001B1CD8">
        <w:rPr>
          <w:sz w:val="22"/>
          <w:szCs w:val="22"/>
          <w:lang w:val="hr-HR"/>
        </w:rPr>
        <w:t>obvez</w:t>
      </w:r>
      <w:r w:rsidR="00313081" w:rsidRPr="001B1CD8">
        <w:rPr>
          <w:sz w:val="22"/>
          <w:szCs w:val="22"/>
          <w:lang w:val="hr-HR"/>
        </w:rPr>
        <w:t>i</w:t>
      </w:r>
      <w:r w:rsidRPr="001B1CD8">
        <w:rPr>
          <w:sz w:val="22"/>
          <w:szCs w:val="22"/>
          <w:lang w:val="hr-HR"/>
        </w:rPr>
        <w:t xml:space="preserve"> za uplatu u proračun Sveučilišta  3% od ostvarenog vlastitog prihoda</w:t>
      </w:r>
      <w:r w:rsidR="00BC157D" w:rsidRPr="001B1CD8">
        <w:rPr>
          <w:sz w:val="22"/>
          <w:szCs w:val="22"/>
          <w:lang w:val="hr-HR"/>
        </w:rPr>
        <w:t xml:space="preserve"> za zadnji kvartal 2023.</w:t>
      </w:r>
      <w:r w:rsidRPr="001B1CD8">
        <w:rPr>
          <w:sz w:val="22"/>
          <w:szCs w:val="22"/>
          <w:lang w:val="hr-HR"/>
        </w:rPr>
        <w:t xml:space="preserve"> u iznosu od </w:t>
      </w:r>
      <w:r w:rsidR="00BC157D" w:rsidRPr="001B1CD8">
        <w:rPr>
          <w:sz w:val="22"/>
          <w:szCs w:val="22"/>
          <w:lang w:val="hr-HR"/>
        </w:rPr>
        <w:t>6.816,52 eura</w:t>
      </w:r>
      <w:r w:rsidR="00AF48BC" w:rsidRPr="001B1CD8">
        <w:rPr>
          <w:sz w:val="22"/>
          <w:szCs w:val="22"/>
          <w:lang w:val="hr-HR"/>
        </w:rPr>
        <w:t xml:space="preserve">, </w:t>
      </w:r>
      <w:r w:rsidR="00C32794" w:rsidRPr="001B1CD8">
        <w:rPr>
          <w:sz w:val="22"/>
          <w:szCs w:val="22"/>
          <w:lang w:val="hr-HR"/>
        </w:rPr>
        <w:t>obvezi za uplatu u proračun Sveučilišta</w:t>
      </w:r>
      <w:r w:rsidR="0037435A" w:rsidRPr="001B1CD8">
        <w:rPr>
          <w:sz w:val="22"/>
          <w:szCs w:val="22"/>
          <w:lang w:val="hr-HR"/>
        </w:rPr>
        <w:t xml:space="preserve"> </w:t>
      </w:r>
      <w:r w:rsidR="005252A4" w:rsidRPr="001B1CD8">
        <w:rPr>
          <w:sz w:val="22"/>
          <w:szCs w:val="22"/>
          <w:lang w:val="hr-HR"/>
        </w:rPr>
        <w:t xml:space="preserve">(15% od uplaćenog iznosa za svakog upisanog studenta, koji nije obuhvaćen Ugovorom o programskom financiranju) </w:t>
      </w:r>
      <w:r w:rsidR="0037435A" w:rsidRPr="001B1CD8">
        <w:rPr>
          <w:sz w:val="22"/>
          <w:szCs w:val="22"/>
          <w:lang w:val="hr-HR"/>
        </w:rPr>
        <w:t>po</w:t>
      </w:r>
      <w:r w:rsidR="00BD549B" w:rsidRPr="001B1CD8">
        <w:rPr>
          <w:sz w:val="22"/>
          <w:szCs w:val="22"/>
          <w:lang w:val="hr-HR"/>
        </w:rPr>
        <w:t xml:space="preserve"> </w:t>
      </w:r>
      <w:r w:rsidR="0037435A" w:rsidRPr="001B1CD8">
        <w:rPr>
          <w:sz w:val="22"/>
          <w:szCs w:val="22"/>
          <w:lang w:val="hr-HR"/>
        </w:rPr>
        <w:t xml:space="preserve">Odluci o raspodjeli sredstava doznačenih za subvencije participacija redovitih studenata u troškovima studija i sufinanciranja materijalnih troškova Sveučilišta u Splitu </w:t>
      </w:r>
      <w:r w:rsidR="00D17D58" w:rsidRPr="001B1CD8">
        <w:rPr>
          <w:sz w:val="22"/>
          <w:szCs w:val="22"/>
          <w:lang w:val="hr-HR"/>
        </w:rPr>
        <w:t>za</w:t>
      </w:r>
      <w:r w:rsidR="0037435A" w:rsidRPr="001B1CD8">
        <w:rPr>
          <w:sz w:val="22"/>
          <w:szCs w:val="22"/>
          <w:lang w:val="hr-HR"/>
        </w:rPr>
        <w:t xml:space="preserve"> </w:t>
      </w:r>
      <w:proofErr w:type="spellStart"/>
      <w:r w:rsidR="0037435A" w:rsidRPr="001B1CD8">
        <w:rPr>
          <w:sz w:val="22"/>
          <w:szCs w:val="22"/>
          <w:lang w:val="hr-HR"/>
        </w:rPr>
        <w:t>akad.god</w:t>
      </w:r>
      <w:proofErr w:type="spellEnd"/>
      <w:r w:rsidR="0037435A" w:rsidRPr="001B1CD8">
        <w:rPr>
          <w:sz w:val="22"/>
          <w:szCs w:val="22"/>
          <w:lang w:val="hr-HR"/>
        </w:rPr>
        <w:t>. 20</w:t>
      </w:r>
      <w:r w:rsidR="00DD5AC9" w:rsidRPr="001B1CD8">
        <w:rPr>
          <w:sz w:val="22"/>
          <w:szCs w:val="22"/>
          <w:lang w:val="hr-HR"/>
        </w:rPr>
        <w:t>2</w:t>
      </w:r>
      <w:r w:rsidR="008152A3" w:rsidRPr="001B1CD8">
        <w:rPr>
          <w:sz w:val="22"/>
          <w:szCs w:val="22"/>
          <w:lang w:val="hr-HR"/>
        </w:rPr>
        <w:t>3</w:t>
      </w:r>
      <w:r w:rsidR="0037435A" w:rsidRPr="001B1CD8">
        <w:rPr>
          <w:sz w:val="22"/>
          <w:szCs w:val="22"/>
          <w:lang w:val="hr-HR"/>
        </w:rPr>
        <w:t>/</w:t>
      </w:r>
      <w:r w:rsidR="00D17D58" w:rsidRPr="001B1CD8">
        <w:rPr>
          <w:sz w:val="22"/>
          <w:szCs w:val="22"/>
          <w:lang w:val="hr-HR"/>
        </w:rPr>
        <w:t>2</w:t>
      </w:r>
      <w:r w:rsidR="008152A3" w:rsidRPr="001B1CD8">
        <w:rPr>
          <w:sz w:val="22"/>
          <w:szCs w:val="22"/>
          <w:lang w:val="hr-HR"/>
        </w:rPr>
        <w:t>4</w:t>
      </w:r>
      <w:r w:rsidR="0037435A" w:rsidRPr="001B1CD8">
        <w:rPr>
          <w:sz w:val="22"/>
          <w:szCs w:val="22"/>
          <w:lang w:val="hr-HR"/>
        </w:rPr>
        <w:t xml:space="preserve">. </w:t>
      </w:r>
      <w:r w:rsidR="008C33B4" w:rsidRPr="001B1CD8">
        <w:rPr>
          <w:sz w:val="22"/>
          <w:szCs w:val="22"/>
          <w:lang w:val="hr-HR"/>
        </w:rPr>
        <w:t>u</w:t>
      </w:r>
      <w:r w:rsidR="0037435A" w:rsidRPr="001B1CD8">
        <w:rPr>
          <w:sz w:val="22"/>
          <w:szCs w:val="22"/>
          <w:lang w:val="hr-HR"/>
        </w:rPr>
        <w:t xml:space="preserve"> iznosu od </w:t>
      </w:r>
      <w:r w:rsidR="008152A3" w:rsidRPr="001B1CD8">
        <w:rPr>
          <w:sz w:val="22"/>
          <w:szCs w:val="22"/>
          <w:lang w:val="hr-HR"/>
        </w:rPr>
        <w:t>116.261,83 eura</w:t>
      </w:r>
      <w:r w:rsidR="0037435A" w:rsidRPr="001B1CD8">
        <w:rPr>
          <w:sz w:val="22"/>
          <w:szCs w:val="22"/>
          <w:lang w:val="hr-HR"/>
        </w:rPr>
        <w:t>,</w:t>
      </w:r>
      <w:r w:rsidR="00C32794" w:rsidRPr="001B1CD8">
        <w:rPr>
          <w:sz w:val="22"/>
          <w:szCs w:val="22"/>
          <w:lang w:val="hr-HR"/>
        </w:rPr>
        <w:t xml:space="preserve"> </w:t>
      </w:r>
      <w:r w:rsidR="009B4D4B" w:rsidRPr="001B1CD8">
        <w:rPr>
          <w:sz w:val="22"/>
          <w:szCs w:val="22"/>
          <w:lang w:val="hr-HR"/>
        </w:rPr>
        <w:t xml:space="preserve">te </w:t>
      </w:r>
      <w:r w:rsidR="006E1073" w:rsidRPr="001B1CD8">
        <w:rPr>
          <w:sz w:val="22"/>
          <w:szCs w:val="22"/>
          <w:lang w:val="hr-HR"/>
        </w:rPr>
        <w:t>obvez</w:t>
      </w:r>
      <w:r w:rsidR="00313081" w:rsidRPr="001B1CD8">
        <w:rPr>
          <w:sz w:val="22"/>
          <w:szCs w:val="22"/>
          <w:lang w:val="hr-HR"/>
        </w:rPr>
        <w:t>i</w:t>
      </w:r>
      <w:r w:rsidR="006E1073" w:rsidRPr="001B1CD8">
        <w:rPr>
          <w:sz w:val="22"/>
          <w:szCs w:val="22"/>
          <w:lang w:val="hr-HR"/>
        </w:rPr>
        <w:t xml:space="preserve"> po obračunu PDV-a za</w:t>
      </w:r>
      <w:r w:rsidR="007627C8" w:rsidRPr="001B1CD8">
        <w:rPr>
          <w:sz w:val="22"/>
          <w:szCs w:val="22"/>
          <w:lang w:val="hr-HR"/>
        </w:rPr>
        <w:t xml:space="preserve"> prosinac</w:t>
      </w:r>
      <w:r w:rsidR="000315E2" w:rsidRPr="001B1CD8">
        <w:rPr>
          <w:sz w:val="22"/>
          <w:szCs w:val="22"/>
          <w:lang w:val="hr-HR"/>
        </w:rPr>
        <w:t xml:space="preserve"> i</w:t>
      </w:r>
      <w:r w:rsidR="00DD5AC9" w:rsidRPr="001B1CD8">
        <w:rPr>
          <w:sz w:val="22"/>
          <w:szCs w:val="22"/>
          <w:lang w:val="hr-HR"/>
        </w:rPr>
        <w:t xml:space="preserve"> korekcij</w:t>
      </w:r>
      <w:r w:rsidR="0003336A" w:rsidRPr="001B1CD8">
        <w:rPr>
          <w:sz w:val="22"/>
          <w:szCs w:val="22"/>
          <w:lang w:val="hr-HR"/>
        </w:rPr>
        <w:t>e</w:t>
      </w:r>
      <w:r w:rsidR="00DD5AC9" w:rsidRPr="001B1CD8">
        <w:rPr>
          <w:sz w:val="22"/>
          <w:szCs w:val="22"/>
          <w:lang w:val="hr-HR"/>
        </w:rPr>
        <w:t xml:space="preserve"> za</w:t>
      </w:r>
      <w:r w:rsidR="000315E2" w:rsidRPr="001B1CD8">
        <w:rPr>
          <w:sz w:val="22"/>
          <w:szCs w:val="22"/>
          <w:lang w:val="hr-HR"/>
        </w:rPr>
        <w:t xml:space="preserve"> svibanj i</w:t>
      </w:r>
      <w:r w:rsidR="00DD5AC9" w:rsidRPr="001B1CD8">
        <w:rPr>
          <w:sz w:val="22"/>
          <w:szCs w:val="22"/>
          <w:lang w:val="hr-HR"/>
        </w:rPr>
        <w:t xml:space="preserve"> </w:t>
      </w:r>
      <w:r w:rsidR="009B4D4B" w:rsidRPr="001B1CD8">
        <w:rPr>
          <w:sz w:val="22"/>
          <w:szCs w:val="22"/>
          <w:lang w:val="hr-HR"/>
        </w:rPr>
        <w:t xml:space="preserve">studeni </w:t>
      </w:r>
      <w:r w:rsidR="006E1073" w:rsidRPr="001B1CD8">
        <w:rPr>
          <w:sz w:val="22"/>
          <w:szCs w:val="22"/>
          <w:lang w:val="hr-HR"/>
        </w:rPr>
        <w:t>20</w:t>
      </w:r>
      <w:r w:rsidR="00DD5AC9" w:rsidRPr="001B1CD8">
        <w:rPr>
          <w:sz w:val="22"/>
          <w:szCs w:val="22"/>
          <w:lang w:val="hr-HR"/>
        </w:rPr>
        <w:t>2</w:t>
      </w:r>
      <w:r w:rsidR="00673EB4" w:rsidRPr="001B1CD8">
        <w:rPr>
          <w:sz w:val="22"/>
          <w:szCs w:val="22"/>
          <w:lang w:val="hr-HR"/>
        </w:rPr>
        <w:t>3</w:t>
      </w:r>
      <w:r w:rsidR="006E1073" w:rsidRPr="001B1CD8">
        <w:rPr>
          <w:sz w:val="22"/>
          <w:szCs w:val="22"/>
          <w:lang w:val="hr-HR"/>
        </w:rPr>
        <w:t xml:space="preserve">.g. u iznosu od </w:t>
      </w:r>
      <w:r w:rsidR="000315E2" w:rsidRPr="001B1CD8">
        <w:rPr>
          <w:sz w:val="22"/>
          <w:szCs w:val="22"/>
          <w:lang w:val="hr-HR"/>
        </w:rPr>
        <w:t>20.867,62 eura</w:t>
      </w:r>
      <w:r w:rsidR="009B4D4B" w:rsidRPr="001B1CD8">
        <w:rPr>
          <w:sz w:val="22"/>
          <w:szCs w:val="22"/>
          <w:lang w:val="hr-HR"/>
        </w:rPr>
        <w:t>.</w:t>
      </w:r>
      <w:r w:rsidRPr="001B1CD8">
        <w:rPr>
          <w:sz w:val="22"/>
          <w:szCs w:val="22"/>
          <w:lang w:val="hr-HR"/>
        </w:rPr>
        <w:t xml:space="preserve"> </w:t>
      </w:r>
    </w:p>
    <w:p w14:paraId="6E941A58" w14:textId="77777777" w:rsidR="00B76811" w:rsidRPr="008A6624" w:rsidRDefault="00B76811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42C38C38" w14:textId="77777777" w:rsidR="00F06772" w:rsidRPr="008A6624" w:rsidRDefault="00F06772" w:rsidP="00461DDB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  <w:r w:rsidRPr="008A6624">
        <w:rPr>
          <w:sz w:val="22"/>
          <w:szCs w:val="22"/>
          <w:u w:val="single"/>
          <w:lang w:val="hr-HR"/>
        </w:rPr>
        <w:t>Obveze za nabavu nefinancijske imovine</w:t>
      </w:r>
    </w:p>
    <w:p w14:paraId="62E709B2" w14:textId="77777777" w:rsidR="00F06772" w:rsidRPr="008A6624" w:rsidRDefault="00F06772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8A6624">
        <w:rPr>
          <w:sz w:val="22"/>
          <w:szCs w:val="22"/>
          <w:lang w:val="hr-HR"/>
        </w:rPr>
        <w:t>Obveze za nefinancijsk</w:t>
      </w:r>
      <w:r w:rsidR="00C40585" w:rsidRPr="008A6624">
        <w:rPr>
          <w:sz w:val="22"/>
          <w:szCs w:val="22"/>
          <w:lang w:val="hr-HR"/>
        </w:rPr>
        <w:t>u</w:t>
      </w:r>
      <w:r w:rsidRPr="008A6624">
        <w:rPr>
          <w:sz w:val="22"/>
          <w:szCs w:val="22"/>
          <w:lang w:val="hr-HR"/>
        </w:rPr>
        <w:t xml:space="preserve"> imovin</w:t>
      </w:r>
      <w:r w:rsidR="00C40585" w:rsidRPr="008A6624">
        <w:rPr>
          <w:sz w:val="22"/>
          <w:szCs w:val="22"/>
          <w:lang w:val="hr-HR"/>
        </w:rPr>
        <w:t xml:space="preserve">u </w:t>
      </w:r>
      <w:r w:rsidRPr="008A6624">
        <w:rPr>
          <w:sz w:val="22"/>
          <w:szCs w:val="22"/>
          <w:lang w:val="hr-HR"/>
        </w:rPr>
        <w:t>knjižene su u korist obveza na skupini računa 24</w:t>
      </w:r>
      <w:r w:rsidR="00C40585" w:rsidRPr="008A6624">
        <w:rPr>
          <w:sz w:val="22"/>
          <w:szCs w:val="22"/>
          <w:lang w:val="hr-HR"/>
        </w:rPr>
        <w:t xml:space="preserve">, te na </w:t>
      </w:r>
      <w:r w:rsidRPr="008A6624">
        <w:rPr>
          <w:sz w:val="22"/>
          <w:szCs w:val="22"/>
          <w:lang w:val="hr-HR"/>
        </w:rPr>
        <w:t xml:space="preserve">teret računa rashoda za nabavu nefinancijske imovine na računima razreda 4 u ukupnoj svoti od </w:t>
      </w:r>
      <w:r w:rsidR="001266A4" w:rsidRPr="008A6624">
        <w:rPr>
          <w:sz w:val="22"/>
          <w:szCs w:val="22"/>
          <w:lang w:val="hr-HR"/>
        </w:rPr>
        <w:t>8.055,15 eura</w:t>
      </w:r>
      <w:r w:rsidRPr="008A6624">
        <w:rPr>
          <w:sz w:val="22"/>
          <w:szCs w:val="22"/>
          <w:lang w:val="hr-HR"/>
        </w:rPr>
        <w:t xml:space="preserve">. </w:t>
      </w:r>
    </w:p>
    <w:p w14:paraId="546BEB32" w14:textId="77777777" w:rsidR="00B607E0" w:rsidRPr="008A6624" w:rsidRDefault="00B607E0" w:rsidP="00B607E0">
      <w:pPr>
        <w:spacing w:line="276" w:lineRule="auto"/>
        <w:ind w:firstLine="69"/>
        <w:rPr>
          <w:sz w:val="22"/>
          <w:szCs w:val="22"/>
          <w:u w:val="single"/>
          <w:lang w:val="hr-HR"/>
        </w:rPr>
      </w:pPr>
    </w:p>
    <w:p w14:paraId="4B2ACED4" w14:textId="77777777" w:rsidR="00A33631" w:rsidRPr="008A6624" w:rsidRDefault="00A33631" w:rsidP="005D3050">
      <w:pPr>
        <w:keepNext/>
        <w:spacing w:line="276" w:lineRule="auto"/>
        <w:ind w:firstLine="68"/>
        <w:rPr>
          <w:sz w:val="22"/>
          <w:szCs w:val="22"/>
          <w:u w:val="single"/>
          <w:lang w:val="hr-HR"/>
        </w:rPr>
      </w:pPr>
      <w:r w:rsidRPr="008A6624">
        <w:rPr>
          <w:sz w:val="22"/>
          <w:szCs w:val="22"/>
          <w:u w:val="single"/>
          <w:lang w:val="hr-HR"/>
        </w:rPr>
        <w:t>Odgođeno plaćanje rashoda i prihodi budućih razdoblja</w:t>
      </w:r>
    </w:p>
    <w:p w14:paraId="444D89E9" w14:textId="77777777" w:rsidR="00DA1A00" w:rsidRPr="008A6624" w:rsidRDefault="00A33631" w:rsidP="00DA1A00">
      <w:pPr>
        <w:spacing w:before="240" w:line="360" w:lineRule="auto"/>
        <w:ind w:left="0" w:firstLine="0"/>
        <w:rPr>
          <w:sz w:val="22"/>
          <w:szCs w:val="22"/>
          <w:lang w:val="hr-HR"/>
        </w:rPr>
      </w:pPr>
      <w:r w:rsidRPr="008A6624">
        <w:rPr>
          <w:sz w:val="22"/>
          <w:szCs w:val="22"/>
          <w:lang w:val="hr-HR"/>
        </w:rPr>
        <w:t xml:space="preserve">Prihodi budućih razdoblja u iznosu od </w:t>
      </w:r>
      <w:r w:rsidR="001266A4" w:rsidRPr="008A6624">
        <w:rPr>
          <w:sz w:val="22"/>
          <w:szCs w:val="22"/>
          <w:lang w:val="hr-HR"/>
        </w:rPr>
        <w:t>494.112,78 eura</w:t>
      </w:r>
      <w:r w:rsidRPr="008A6624">
        <w:rPr>
          <w:sz w:val="22"/>
          <w:szCs w:val="22"/>
          <w:lang w:val="hr-HR"/>
        </w:rPr>
        <w:t xml:space="preserve"> se odnose na vremensko razgraničenje školarina</w:t>
      </w:r>
      <w:r w:rsidR="00380C5F" w:rsidRPr="008A6624">
        <w:rPr>
          <w:sz w:val="22"/>
          <w:szCs w:val="22"/>
          <w:lang w:val="hr-HR"/>
        </w:rPr>
        <w:t>.</w:t>
      </w:r>
      <w:r w:rsidR="00A26215" w:rsidRPr="008A6624">
        <w:rPr>
          <w:sz w:val="22"/>
          <w:szCs w:val="22"/>
          <w:lang w:val="hr-HR"/>
        </w:rPr>
        <w:t xml:space="preserve"> </w:t>
      </w:r>
    </w:p>
    <w:p w14:paraId="6DB082E3" w14:textId="77777777" w:rsidR="00DA1A00" w:rsidRPr="00DA1A00" w:rsidRDefault="00DA1A00" w:rsidP="00DA1A00">
      <w:pPr>
        <w:spacing w:before="240" w:line="360" w:lineRule="auto"/>
        <w:ind w:left="0" w:firstLine="0"/>
        <w:rPr>
          <w:color w:val="4F6228" w:themeColor="accent3" w:themeShade="80"/>
          <w:sz w:val="22"/>
          <w:szCs w:val="22"/>
          <w:lang w:val="hr-HR"/>
        </w:rPr>
      </w:pPr>
    </w:p>
    <w:p w14:paraId="279A371A" w14:textId="77777777" w:rsidR="00DA1A00" w:rsidRPr="00273D66" w:rsidRDefault="00DA1A00" w:rsidP="00DA1A00">
      <w:pPr>
        <w:spacing w:before="240" w:line="276" w:lineRule="auto"/>
        <w:ind w:left="425" w:firstLine="0"/>
        <w:rPr>
          <w:sz w:val="22"/>
          <w:szCs w:val="22"/>
          <w:u w:val="single"/>
          <w:lang w:val="hr-HR"/>
        </w:rPr>
      </w:pPr>
      <w:proofErr w:type="spellStart"/>
      <w:r w:rsidRPr="00273D66">
        <w:rPr>
          <w:sz w:val="22"/>
          <w:szCs w:val="22"/>
          <w:u w:val="single"/>
          <w:lang w:val="hr-HR"/>
        </w:rPr>
        <w:t>Izvanbilančni</w:t>
      </w:r>
      <w:proofErr w:type="spellEnd"/>
      <w:r w:rsidRPr="00273D66">
        <w:rPr>
          <w:sz w:val="22"/>
          <w:szCs w:val="22"/>
          <w:u w:val="single"/>
          <w:lang w:val="hr-HR"/>
        </w:rPr>
        <w:t xml:space="preserve"> zapisi</w:t>
      </w:r>
    </w:p>
    <w:p w14:paraId="6240A501" w14:textId="77777777" w:rsidR="00DA1A00" w:rsidRPr="00273D66" w:rsidRDefault="00DA1A00" w:rsidP="00DA1A00">
      <w:pPr>
        <w:spacing w:before="120" w:after="0" w:line="360" w:lineRule="auto"/>
        <w:ind w:left="425" w:firstLine="0"/>
        <w:rPr>
          <w:sz w:val="22"/>
          <w:szCs w:val="22"/>
          <w:u w:val="single"/>
          <w:lang w:val="hr-HR"/>
        </w:rPr>
      </w:pPr>
    </w:p>
    <w:p w14:paraId="6506F8EB" w14:textId="77777777" w:rsidR="00DA1A00" w:rsidRPr="00273D66" w:rsidRDefault="007338C8" w:rsidP="00DA1A00">
      <w:pPr>
        <w:spacing w:after="0" w:line="360" w:lineRule="auto"/>
        <w:rPr>
          <w:sz w:val="22"/>
          <w:szCs w:val="22"/>
          <w:lang w:val="hr-HR"/>
        </w:rPr>
      </w:pPr>
      <w:proofErr w:type="spellStart"/>
      <w:r w:rsidRPr="00273D66">
        <w:rPr>
          <w:sz w:val="22"/>
          <w:szCs w:val="22"/>
          <w:lang w:val="hr-HR"/>
        </w:rPr>
        <w:t>Izvanbilančni</w:t>
      </w:r>
      <w:proofErr w:type="spellEnd"/>
      <w:r w:rsidRPr="00273D66">
        <w:rPr>
          <w:sz w:val="22"/>
          <w:szCs w:val="22"/>
          <w:lang w:val="hr-HR"/>
        </w:rPr>
        <w:t xml:space="preserve"> zapisi</w:t>
      </w:r>
      <w:r w:rsidR="003502B6" w:rsidRPr="00273D66">
        <w:rPr>
          <w:sz w:val="22"/>
          <w:szCs w:val="22"/>
          <w:lang w:val="hr-HR"/>
        </w:rPr>
        <w:t xml:space="preserve"> Obrazac: BILANCA</w:t>
      </w:r>
      <w:r w:rsidRPr="00273D66">
        <w:rPr>
          <w:sz w:val="22"/>
          <w:szCs w:val="22"/>
          <w:lang w:val="hr-HR"/>
        </w:rPr>
        <w:t xml:space="preserve"> </w:t>
      </w:r>
      <w:r w:rsidR="00103292" w:rsidRPr="00273D66">
        <w:rPr>
          <w:sz w:val="22"/>
          <w:szCs w:val="22"/>
          <w:lang w:val="hr-HR"/>
        </w:rPr>
        <w:t xml:space="preserve">u iznosu od </w:t>
      </w:r>
      <w:r w:rsidR="001867EC" w:rsidRPr="00273D66">
        <w:rPr>
          <w:sz w:val="22"/>
          <w:szCs w:val="22"/>
          <w:lang w:val="hr-HR"/>
        </w:rPr>
        <w:t>392.527,82 eura</w:t>
      </w:r>
      <w:r w:rsidR="00103292" w:rsidRPr="00273D66">
        <w:rPr>
          <w:sz w:val="22"/>
          <w:szCs w:val="22"/>
          <w:lang w:val="hr-HR"/>
        </w:rPr>
        <w:t xml:space="preserve"> </w:t>
      </w:r>
      <w:r w:rsidRPr="00273D66">
        <w:rPr>
          <w:sz w:val="22"/>
          <w:szCs w:val="22"/>
          <w:lang w:val="hr-HR"/>
        </w:rPr>
        <w:t xml:space="preserve">se odnose na </w:t>
      </w:r>
      <w:r w:rsidR="00DA1A00" w:rsidRPr="00273D66">
        <w:rPr>
          <w:sz w:val="22"/>
          <w:szCs w:val="22"/>
          <w:lang w:val="hr-HR"/>
        </w:rPr>
        <w:t>dane i primljene</w:t>
      </w:r>
    </w:p>
    <w:p w14:paraId="57883C3E" w14:textId="77777777" w:rsidR="00225DAE" w:rsidRPr="00273D66" w:rsidRDefault="00103292" w:rsidP="00DA1A00">
      <w:pPr>
        <w:spacing w:after="0" w:line="360" w:lineRule="auto"/>
        <w:rPr>
          <w:sz w:val="22"/>
          <w:szCs w:val="22"/>
          <w:lang w:val="hr-HR"/>
        </w:rPr>
      </w:pPr>
      <w:r w:rsidRPr="00273D66">
        <w:rPr>
          <w:sz w:val="22"/>
          <w:szCs w:val="22"/>
          <w:lang w:val="hr-HR"/>
        </w:rPr>
        <w:t xml:space="preserve">instrumente osiguranja plaćanja, te </w:t>
      </w:r>
      <w:r w:rsidR="007338C8" w:rsidRPr="00273D66">
        <w:rPr>
          <w:sz w:val="22"/>
          <w:szCs w:val="22"/>
          <w:lang w:val="hr-HR"/>
        </w:rPr>
        <w:t>potencijalne obveze po osnovi sudskih sporova u tijeku</w:t>
      </w:r>
      <w:r w:rsidRPr="00273D66">
        <w:rPr>
          <w:sz w:val="22"/>
          <w:szCs w:val="22"/>
          <w:lang w:val="hr-HR"/>
        </w:rPr>
        <w:t xml:space="preserve">. </w:t>
      </w:r>
    </w:p>
    <w:p w14:paraId="207BED71" w14:textId="77777777" w:rsidR="00B607E0" w:rsidRPr="00273D66" w:rsidRDefault="00B607E0" w:rsidP="00B607E0">
      <w:pPr>
        <w:pStyle w:val="ListParagraph"/>
        <w:spacing w:after="0" w:line="276" w:lineRule="auto"/>
        <w:ind w:left="426" w:firstLine="0"/>
        <w:rPr>
          <w:sz w:val="22"/>
          <w:szCs w:val="22"/>
          <w:lang w:val="hr-HR"/>
        </w:rPr>
      </w:pPr>
    </w:p>
    <w:p w14:paraId="4D50D680" w14:textId="77777777" w:rsidR="00B607E0" w:rsidRPr="00273D66" w:rsidRDefault="00225DAE" w:rsidP="00DA1A00">
      <w:pPr>
        <w:pStyle w:val="ListParagraph"/>
        <w:spacing w:after="0" w:line="360" w:lineRule="auto"/>
        <w:ind w:left="0" w:firstLine="0"/>
        <w:rPr>
          <w:sz w:val="22"/>
          <w:szCs w:val="22"/>
          <w:lang w:val="hr-HR"/>
        </w:rPr>
      </w:pPr>
      <w:r w:rsidRPr="00273D66">
        <w:rPr>
          <w:sz w:val="22"/>
          <w:szCs w:val="22"/>
          <w:lang w:val="hr-HR"/>
        </w:rPr>
        <w:t xml:space="preserve">Primljene zadužnice u iznosu od </w:t>
      </w:r>
      <w:r w:rsidR="001867EC" w:rsidRPr="00273D66">
        <w:rPr>
          <w:sz w:val="22"/>
          <w:szCs w:val="22"/>
          <w:lang w:val="hr-HR"/>
        </w:rPr>
        <w:t>118.173,66 eura</w:t>
      </w:r>
      <w:r w:rsidRPr="00273D66">
        <w:rPr>
          <w:sz w:val="22"/>
          <w:szCs w:val="22"/>
          <w:lang w:val="hr-HR"/>
        </w:rPr>
        <w:t xml:space="preserve">, te dane zadužnice u iznosu od </w:t>
      </w:r>
      <w:r w:rsidR="001867EC" w:rsidRPr="00273D66">
        <w:rPr>
          <w:sz w:val="22"/>
          <w:szCs w:val="22"/>
          <w:lang w:val="hr-HR"/>
        </w:rPr>
        <w:t>267.640,00 eura</w:t>
      </w:r>
      <w:r w:rsidRPr="00273D66">
        <w:rPr>
          <w:sz w:val="22"/>
          <w:szCs w:val="22"/>
          <w:lang w:val="hr-HR"/>
        </w:rPr>
        <w:t xml:space="preserve"> odnose se na jamstva za uredno ispunjenje ugovornih obveza.</w:t>
      </w:r>
    </w:p>
    <w:p w14:paraId="3141CD29" w14:textId="77777777" w:rsidR="00B607E0" w:rsidRPr="00273D66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  <w:r w:rsidRPr="00273D66">
        <w:rPr>
          <w:sz w:val="22"/>
          <w:szCs w:val="22"/>
          <w:lang w:val="hr-HR"/>
        </w:rPr>
        <w:br w:type="page"/>
      </w:r>
    </w:p>
    <w:p w14:paraId="44685D82" w14:textId="77777777" w:rsidR="00B607E0" w:rsidRPr="00273D66" w:rsidRDefault="00B607E0" w:rsidP="00B607E0">
      <w:pPr>
        <w:spacing w:after="0"/>
        <w:ind w:left="0" w:firstLine="0"/>
        <w:jc w:val="center"/>
        <w:rPr>
          <w:b/>
          <w:bCs/>
          <w:lang w:val="hr-HR"/>
        </w:rPr>
      </w:pPr>
      <w:r w:rsidRPr="00273D66">
        <w:rPr>
          <w:b/>
          <w:bCs/>
          <w:lang w:val="hr-HR"/>
        </w:rPr>
        <w:lastRenderedPageBreak/>
        <w:t>PRIMLJENI INSTRUMENTI OSIGURANJA</w:t>
      </w:r>
    </w:p>
    <w:p w14:paraId="72D8263B" w14:textId="77777777" w:rsidR="00B607E0" w:rsidRPr="00273D66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</w:p>
    <w:p w14:paraId="693F95C0" w14:textId="77777777" w:rsidR="00B607E0" w:rsidRPr="00273D66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</w:p>
    <w:tbl>
      <w:tblPr>
        <w:tblW w:w="9237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43"/>
        <w:gridCol w:w="1220"/>
        <w:gridCol w:w="1248"/>
        <w:gridCol w:w="2217"/>
        <w:gridCol w:w="1290"/>
        <w:gridCol w:w="1343"/>
        <w:gridCol w:w="1176"/>
      </w:tblGrid>
      <w:tr w:rsidR="00136E12" w:rsidRPr="00273D66" w14:paraId="31E641C3" w14:textId="77777777" w:rsidTr="00136E12">
        <w:trPr>
          <w:trHeight w:val="60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CB61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Redni broj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1FE7" w14:textId="77777777" w:rsidR="005D3050" w:rsidRPr="00273D66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V</w:t>
            </w:r>
            <w:r w:rsidR="00426BAF" w:rsidRPr="00273D66">
              <w:rPr>
                <w:b/>
                <w:lang w:val="hr-HR"/>
              </w:rPr>
              <w:t>rsta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CEAF" w14:textId="77777777" w:rsidR="005D3050" w:rsidRPr="00273D66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I</w:t>
            </w:r>
            <w:r w:rsidR="00426BAF" w:rsidRPr="00273D66">
              <w:rPr>
                <w:b/>
                <w:lang w:val="hr-HR"/>
              </w:rPr>
              <w:t>znos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3BF" w14:textId="77777777" w:rsidR="005D3050" w:rsidRPr="00273D66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P</w:t>
            </w:r>
            <w:r w:rsidR="00426BAF" w:rsidRPr="00273D66">
              <w:rPr>
                <w:b/>
                <w:lang w:val="hr-HR"/>
              </w:rPr>
              <w:t>ravna</w:t>
            </w:r>
            <w:r w:rsidRPr="00273D66">
              <w:rPr>
                <w:b/>
                <w:lang w:val="hr-HR"/>
              </w:rPr>
              <w:t xml:space="preserve"> </w:t>
            </w:r>
            <w:r w:rsidR="00426BAF" w:rsidRPr="00273D66">
              <w:rPr>
                <w:b/>
                <w:lang w:val="hr-HR"/>
              </w:rPr>
              <w:t>osoba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01D" w14:textId="77777777" w:rsidR="005D3050" w:rsidRPr="00273D66" w:rsidRDefault="005D3050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  <w:r w:rsidR="00426BAF" w:rsidRPr="00273D66">
              <w:rPr>
                <w:b/>
                <w:lang w:val="hr-HR"/>
              </w:rPr>
              <w:t>Broj dokumenta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C766" w14:textId="77777777" w:rsidR="005D3050" w:rsidRPr="00273D66" w:rsidRDefault="00426BAF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Datum izdavanja jamstva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7D1A" w14:textId="77777777" w:rsidR="005D3050" w:rsidRPr="00273D66" w:rsidRDefault="00426BAF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Datum isteka jamstva</w:t>
            </w:r>
          </w:p>
        </w:tc>
      </w:tr>
      <w:tr w:rsidR="00136E12" w:rsidRPr="00273D66" w14:paraId="3589E599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9E38" w14:textId="77777777" w:rsidR="005D3050" w:rsidRPr="00273D66" w:rsidRDefault="00CF2C16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</w:t>
            </w:r>
            <w:r w:rsidR="00426BAF" w:rsidRPr="00273D66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B604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91F8" w14:textId="77777777" w:rsidR="005D3050" w:rsidRPr="00273D66" w:rsidRDefault="00BA76B4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 xml:space="preserve"> </w:t>
            </w:r>
            <w:r w:rsidR="008252A1" w:rsidRPr="00273D66">
              <w:rPr>
                <w:lang w:val="hr-HR"/>
              </w:rPr>
              <w:t>1.827,59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9AC1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273D66">
              <w:rPr>
                <w:lang w:val="hr-HR"/>
              </w:rPr>
              <w:t>Izo</w:t>
            </w:r>
            <w:proofErr w:type="spellEnd"/>
            <w:r w:rsidRPr="00273D66">
              <w:rPr>
                <w:lang w:val="hr-HR"/>
              </w:rPr>
              <w:t>-pokrov d.o.o. Solin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8C7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OV-6362/</w:t>
            </w:r>
            <w:r w:rsidR="00EA1868" w:rsidRPr="00273D66">
              <w:rPr>
                <w:lang w:val="hr-HR"/>
              </w:rPr>
              <w:t>20</w:t>
            </w:r>
            <w:r w:rsidRPr="00273D66">
              <w:rPr>
                <w:lang w:val="hr-HR"/>
              </w:rPr>
              <w:t>09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7BE4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24.08.2009.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AC3F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14.07.2024.</w:t>
            </w:r>
          </w:p>
        </w:tc>
      </w:tr>
      <w:tr w:rsidR="00136E12" w:rsidRPr="00273D66" w14:paraId="7D3CE844" w14:textId="77777777" w:rsidTr="00136E12">
        <w:trPr>
          <w:trHeight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EA0A" w14:textId="77777777" w:rsidR="00C373C3" w:rsidRPr="00273D66" w:rsidRDefault="00CF2C16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</w:t>
            </w:r>
            <w:r w:rsidR="00426BAF" w:rsidRPr="00273D66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31BC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AAA" w14:textId="77777777" w:rsidR="005D3050" w:rsidRPr="00273D66" w:rsidRDefault="008252A1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 xml:space="preserve">   663,61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4EDB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Luping d.o.o.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BE4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OV-20971/</w:t>
            </w:r>
            <w:r w:rsidR="00EA1868" w:rsidRPr="00273D66">
              <w:rPr>
                <w:lang w:val="hr-HR"/>
              </w:rPr>
              <w:t>20</w:t>
            </w:r>
            <w:r w:rsidRPr="00273D66">
              <w:rPr>
                <w:lang w:val="hr-HR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7CD8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09.12.2016.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D6A" w14:textId="77777777" w:rsidR="005D3050" w:rsidRPr="00273D66" w:rsidRDefault="005D3050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09.12.2026.</w:t>
            </w:r>
          </w:p>
        </w:tc>
      </w:tr>
      <w:tr w:rsidR="00136E12" w:rsidRPr="00273D66" w14:paraId="2393AF73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73F6" w14:textId="77777777" w:rsidR="005C145F" w:rsidRPr="00273D66" w:rsidRDefault="00CF2C16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3</w:t>
            </w:r>
            <w:r w:rsidR="00426BAF" w:rsidRPr="00273D66">
              <w:rPr>
                <w:lang w:val="hr-H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7690" w14:textId="77777777" w:rsidR="005C145F" w:rsidRPr="00273D66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561F" w14:textId="77777777" w:rsidR="005C145F" w:rsidRPr="00273D66" w:rsidRDefault="00F92A9C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 xml:space="preserve"> </w:t>
            </w:r>
            <w:r w:rsidR="007128F6" w:rsidRPr="00273D66">
              <w:rPr>
                <w:lang w:val="hr-HR"/>
              </w:rPr>
              <w:t xml:space="preserve"> </w:t>
            </w:r>
            <w:r w:rsidR="008252A1" w:rsidRPr="00273D66">
              <w:rPr>
                <w:lang w:val="hr-HR"/>
              </w:rPr>
              <w:t>663,61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4A3" w14:textId="77777777" w:rsidR="005C145F" w:rsidRPr="00273D66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273D66">
              <w:rPr>
                <w:lang w:val="hr-HR"/>
              </w:rPr>
              <w:t>Izo</w:t>
            </w:r>
            <w:proofErr w:type="spellEnd"/>
            <w:r w:rsidRPr="00273D66">
              <w:rPr>
                <w:lang w:val="hr-HR"/>
              </w:rPr>
              <w:t>-pokrov d.o.o., Solin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25F5" w14:textId="77777777" w:rsidR="005C145F" w:rsidRPr="00273D66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OV-3088/2019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DB7B" w14:textId="77777777" w:rsidR="005C145F" w:rsidRPr="00273D66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08.11.2019.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CF5C" w14:textId="77777777" w:rsidR="005C145F" w:rsidRPr="00273D66" w:rsidRDefault="005C145F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23.</w:t>
            </w:r>
            <w:r w:rsidR="00D069F0" w:rsidRPr="00273D66">
              <w:rPr>
                <w:lang w:val="hr-HR"/>
              </w:rPr>
              <w:t>0</w:t>
            </w:r>
            <w:r w:rsidRPr="00273D66">
              <w:rPr>
                <w:lang w:val="hr-HR"/>
              </w:rPr>
              <w:t>7.2029</w:t>
            </w:r>
            <w:r w:rsidR="00D069F0" w:rsidRPr="00273D66">
              <w:rPr>
                <w:lang w:val="hr-HR"/>
              </w:rPr>
              <w:t>.</w:t>
            </w:r>
          </w:p>
        </w:tc>
      </w:tr>
      <w:tr w:rsidR="00136E12" w:rsidRPr="00273D66" w14:paraId="04B5DF38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9D00" w14:textId="77777777" w:rsidR="008252A1" w:rsidRPr="00273D66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4.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FB1D" w14:textId="77777777" w:rsidR="008252A1" w:rsidRPr="00273D66" w:rsidRDefault="008252A1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379F4" w14:textId="77777777" w:rsidR="008252A1" w:rsidRPr="00273D66" w:rsidRDefault="008252A1" w:rsidP="0074722E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6.636,14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733" w14:textId="77777777" w:rsidR="008252A1" w:rsidRPr="00273D66" w:rsidRDefault="008252A1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273D66">
              <w:rPr>
                <w:lang w:val="hr-HR"/>
              </w:rPr>
              <w:t>Labsys</w:t>
            </w:r>
            <w:proofErr w:type="spellEnd"/>
            <w:r w:rsidRPr="00273D66">
              <w:rPr>
                <w:lang w:val="hr-HR"/>
              </w:rPr>
              <w:t xml:space="preserve"> d.o.o., Ljubljana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6D41" w14:textId="77777777" w:rsidR="008252A1" w:rsidRPr="00273D66" w:rsidRDefault="008252A1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OV-602/2022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4F06" w14:textId="77777777" w:rsidR="008252A1" w:rsidRPr="00273D66" w:rsidRDefault="008252A1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03.02.2022.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6F1F" w14:textId="77777777" w:rsidR="008252A1" w:rsidRPr="00273D66" w:rsidRDefault="008252A1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15.10.2024.</w:t>
            </w:r>
          </w:p>
        </w:tc>
      </w:tr>
      <w:tr w:rsidR="00136E12" w:rsidRPr="00273D66" w14:paraId="2634ED66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10A7C" w14:textId="77777777" w:rsidR="008252A1" w:rsidRPr="00273D66" w:rsidRDefault="008252A1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5.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C1827" w14:textId="77777777" w:rsidR="008252A1" w:rsidRPr="00273D66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77998" w14:textId="77777777" w:rsidR="008252A1" w:rsidRPr="00273D66" w:rsidRDefault="001825BA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6.636,14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0857F" w14:textId="77777777" w:rsidR="008252A1" w:rsidRPr="00273D66" w:rsidRDefault="001825BA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273D66">
              <w:rPr>
                <w:lang w:val="hr-HR"/>
              </w:rPr>
              <w:t>Metus</w:t>
            </w:r>
            <w:proofErr w:type="spellEnd"/>
            <w:r w:rsidRPr="00273D66">
              <w:rPr>
                <w:lang w:val="hr-HR"/>
              </w:rPr>
              <w:t xml:space="preserve"> d.o.o., Sveta Nedjelja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4BB4" w14:textId="77777777" w:rsidR="008252A1" w:rsidRPr="00273D66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OV-1147/2022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07D0" w14:textId="77777777" w:rsidR="008252A1" w:rsidRPr="00273D66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13.06.2022.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A515" w14:textId="77777777" w:rsidR="008252A1" w:rsidRPr="00273D66" w:rsidRDefault="001825BA" w:rsidP="00FB3B6A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02.02.2028.</w:t>
            </w:r>
          </w:p>
        </w:tc>
      </w:tr>
      <w:tr w:rsidR="00136E12" w:rsidRPr="00273D66" w14:paraId="4F99804D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2291" w14:textId="77777777" w:rsidR="008252A1" w:rsidRPr="00273D66" w:rsidRDefault="008252A1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6.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FD94" w14:textId="77777777" w:rsidR="008252A1" w:rsidRPr="00273D66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2D5A2" w14:textId="77777777" w:rsidR="008252A1" w:rsidRPr="00273D66" w:rsidRDefault="001825BA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10.000,00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6A8B" w14:textId="77777777" w:rsidR="008252A1" w:rsidRPr="00273D66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proofErr w:type="spellStart"/>
            <w:r w:rsidRPr="00273D66">
              <w:rPr>
                <w:lang w:val="hr-HR"/>
              </w:rPr>
              <w:t>Metus</w:t>
            </w:r>
            <w:proofErr w:type="spellEnd"/>
            <w:r w:rsidRPr="00273D66">
              <w:rPr>
                <w:lang w:val="hr-HR"/>
              </w:rPr>
              <w:t xml:space="preserve"> d.o.o., Sveta Nedjelja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13EF" w14:textId="77777777" w:rsidR="008252A1" w:rsidRPr="00273D66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OV-3806/2023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B5EE" w14:textId="77777777" w:rsidR="008252A1" w:rsidRPr="00273D66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13.02.2023.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39E8" w14:textId="77777777" w:rsidR="008252A1" w:rsidRPr="00273D66" w:rsidRDefault="001825BA" w:rsidP="008B6B4D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02.02.2028.</w:t>
            </w:r>
          </w:p>
        </w:tc>
      </w:tr>
      <w:tr w:rsidR="00136E12" w:rsidRPr="00273D66" w14:paraId="7B51D4DB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F019" w14:textId="77777777" w:rsidR="008252A1" w:rsidRPr="00273D66" w:rsidRDefault="008252A1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7.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DF06" w14:textId="77777777" w:rsidR="008252A1" w:rsidRPr="00273D66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garancija banke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D141" w14:textId="77777777" w:rsidR="008252A1" w:rsidRPr="00273D66" w:rsidRDefault="001825BA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16.746,57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8FEA" w14:textId="77777777" w:rsidR="008252A1" w:rsidRPr="00273D66" w:rsidRDefault="001825BA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LB-</w:t>
            </w:r>
            <w:proofErr w:type="spellStart"/>
            <w:r w:rsidRPr="00273D66">
              <w:rPr>
                <w:lang w:val="hr-HR"/>
              </w:rPr>
              <w:t>acou</w:t>
            </w:r>
            <w:r w:rsidR="00ED40B0" w:rsidRPr="00273D66">
              <w:rPr>
                <w:lang w:val="hr-HR"/>
              </w:rPr>
              <w:t>stics</w:t>
            </w:r>
            <w:proofErr w:type="spellEnd"/>
            <w:r w:rsidR="00ED40B0" w:rsidRPr="00273D66">
              <w:rPr>
                <w:lang w:val="hr-HR"/>
              </w:rPr>
              <w:t xml:space="preserve"> </w:t>
            </w:r>
            <w:proofErr w:type="spellStart"/>
            <w:r w:rsidR="00ED40B0" w:rsidRPr="00273D66">
              <w:rPr>
                <w:lang w:val="hr-HR"/>
              </w:rPr>
              <w:t>Messgerate</w:t>
            </w:r>
            <w:proofErr w:type="spellEnd"/>
            <w:r w:rsidR="00ED40B0" w:rsidRPr="00273D66">
              <w:rPr>
                <w:lang w:val="hr-HR"/>
              </w:rPr>
              <w:t xml:space="preserve"> GMBH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F407" w14:textId="77777777" w:rsidR="008252A1" w:rsidRPr="00273D66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DOKWI/406.056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D7939" w14:textId="77777777" w:rsidR="008252A1" w:rsidRPr="00273D66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07.01.2022.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60E3" w14:textId="77777777" w:rsidR="008252A1" w:rsidRPr="00273D66" w:rsidRDefault="00ED40B0" w:rsidP="008B6B4D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18.06.2026.</w:t>
            </w:r>
          </w:p>
        </w:tc>
      </w:tr>
      <w:tr w:rsidR="00136E12" w:rsidRPr="00273D66" w14:paraId="33BE84FC" w14:textId="77777777" w:rsidTr="00136E12">
        <w:trPr>
          <w:trHeight w:val="4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C116" w14:textId="77777777" w:rsidR="008252A1" w:rsidRPr="00273D66" w:rsidRDefault="008252A1" w:rsidP="00D1774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8.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0F48" w14:textId="77777777" w:rsidR="008252A1" w:rsidRPr="00273D66" w:rsidRDefault="008252A1" w:rsidP="0081279F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1006" w14:textId="77777777" w:rsidR="008252A1" w:rsidRPr="00273D66" w:rsidRDefault="00ED40B0" w:rsidP="008252A1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75.000,00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256" w14:textId="77777777" w:rsidR="008252A1" w:rsidRPr="00273D66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Odašiljači i veze d.o.o.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6655" w14:textId="77777777" w:rsidR="008252A1" w:rsidRPr="00273D66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OV-1764/2023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A398" w14:textId="77777777" w:rsidR="008252A1" w:rsidRPr="00273D66" w:rsidRDefault="00ED40B0" w:rsidP="005532D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25.01.2023.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DA74" w14:textId="77777777" w:rsidR="008252A1" w:rsidRPr="00273D66" w:rsidRDefault="00ED40B0" w:rsidP="008B6B4D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31.05.2026.</w:t>
            </w:r>
          </w:p>
        </w:tc>
      </w:tr>
      <w:tr w:rsidR="00C4435B" w:rsidRPr="00273D66" w14:paraId="04E2AB5D" w14:textId="77777777" w:rsidTr="00136E12">
        <w:trPr>
          <w:trHeight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2F008027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1413262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Ukupno: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14:paraId="7D36A7C0" w14:textId="77777777" w:rsidR="008252A1" w:rsidRPr="00273D66" w:rsidRDefault="00C4435B" w:rsidP="008252A1">
            <w:pPr>
              <w:spacing w:after="0"/>
              <w:ind w:left="0" w:firstLine="0"/>
              <w:jc w:val="right"/>
              <w:rPr>
                <w:b/>
                <w:bCs/>
                <w:lang w:val="hr-HR"/>
              </w:rPr>
            </w:pPr>
            <w:r w:rsidRPr="00273D66">
              <w:rPr>
                <w:b/>
                <w:bCs/>
                <w:lang w:val="hr-HR"/>
              </w:rPr>
              <w:fldChar w:fldCharType="begin"/>
            </w:r>
            <w:r w:rsidRPr="00273D66">
              <w:rPr>
                <w:b/>
                <w:bCs/>
                <w:lang w:val="hr-HR"/>
              </w:rPr>
              <w:instrText xml:space="preserve"> =SUM(ABOVE) </w:instrText>
            </w:r>
            <w:r w:rsidRPr="00273D66">
              <w:rPr>
                <w:b/>
                <w:bCs/>
                <w:lang w:val="hr-HR"/>
              </w:rPr>
              <w:fldChar w:fldCharType="separate"/>
            </w:r>
            <w:r w:rsidRPr="00273D66">
              <w:rPr>
                <w:b/>
                <w:bCs/>
                <w:noProof/>
                <w:lang w:val="hr-HR"/>
              </w:rPr>
              <w:t>118.173,66</w:t>
            </w:r>
            <w:r w:rsidRPr="00273D66">
              <w:rPr>
                <w:b/>
                <w:bCs/>
                <w:lang w:val="hr-HR"/>
              </w:rPr>
              <w:fldChar w:fldCharType="end"/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34CE5BE6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BA856CD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416E4EB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8DB51" w14:textId="77777777" w:rsidR="008252A1" w:rsidRPr="00273D66" w:rsidRDefault="008252A1" w:rsidP="00AB61D8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 </w:t>
            </w:r>
          </w:p>
        </w:tc>
      </w:tr>
    </w:tbl>
    <w:p w14:paraId="06D4C8DC" w14:textId="77777777" w:rsidR="005D3050" w:rsidRPr="00273D66" w:rsidRDefault="005D305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2C2A4AA2" w14:textId="77777777" w:rsidR="00B607E0" w:rsidRPr="00273D66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6D7DF0DB" w14:textId="77777777" w:rsidR="00B607E0" w:rsidRPr="00273D66" w:rsidRDefault="00B607E0" w:rsidP="00A101AB">
      <w:pPr>
        <w:tabs>
          <w:tab w:val="left" w:pos="709"/>
          <w:tab w:val="left" w:pos="1843"/>
        </w:tabs>
        <w:spacing w:after="0" w:line="276" w:lineRule="auto"/>
        <w:ind w:left="0" w:firstLine="0"/>
        <w:jc w:val="center"/>
        <w:rPr>
          <w:b/>
          <w:bCs/>
          <w:lang w:val="hr-HR"/>
        </w:rPr>
      </w:pPr>
    </w:p>
    <w:p w14:paraId="138DF0C1" w14:textId="77777777" w:rsidR="00B607E0" w:rsidRPr="00273D66" w:rsidRDefault="00B607E0" w:rsidP="00B607E0">
      <w:pPr>
        <w:spacing w:after="0" w:line="276" w:lineRule="auto"/>
        <w:ind w:left="0" w:firstLine="0"/>
        <w:jc w:val="center"/>
        <w:rPr>
          <w:sz w:val="22"/>
          <w:szCs w:val="22"/>
          <w:lang w:val="hr-HR"/>
        </w:rPr>
      </w:pPr>
      <w:r w:rsidRPr="00273D66">
        <w:rPr>
          <w:b/>
          <w:bCs/>
          <w:lang w:val="hr-HR"/>
        </w:rPr>
        <w:t>DANI INSTRUMENTI OSIGURANJA</w:t>
      </w:r>
    </w:p>
    <w:p w14:paraId="4759E4DE" w14:textId="77777777" w:rsidR="00B607E0" w:rsidRPr="00273D66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5EAE00CC" w14:textId="77777777" w:rsidR="00B607E0" w:rsidRPr="00273D66" w:rsidRDefault="00B607E0" w:rsidP="0043176A">
      <w:pPr>
        <w:spacing w:after="0" w:line="276" w:lineRule="auto"/>
        <w:ind w:left="0" w:firstLine="0"/>
        <w:rPr>
          <w:sz w:val="22"/>
          <w:szCs w:val="22"/>
          <w:lang w:val="hr-HR"/>
        </w:rPr>
      </w:pPr>
    </w:p>
    <w:tbl>
      <w:tblPr>
        <w:tblW w:w="925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60"/>
        <w:gridCol w:w="1106"/>
        <w:gridCol w:w="1240"/>
        <w:gridCol w:w="1737"/>
        <w:gridCol w:w="1627"/>
        <w:gridCol w:w="1364"/>
        <w:gridCol w:w="1417"/>
      </w:tblGrid>
      <w:tr w:rsidR="00CF2C16" w:rsidRPr="00273D66" w14:paraId="5BCE306C" w14:textId="77777777" w:rsidTr="00DB164C">
        <w:trPr>
          <w:trHeight w:val="6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7E61" w14:textId="77777777" w:rsidR="003D0BA7" w:rsidRPr="00273D66" w:rsidRDefault="003D0BA7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Redni broj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3B23" w14:textId="77777777" w:rsidR="003D0BA7" w:rsidRPr="00273D66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V</w:t>
            </w:r>
            <w:r w:rsidR="00426BAF" w:rsidRPr="00273D66">
              <w:rPr>
                <w:b/>
                <w:lang w:val="hr-HR"/>
              </w:rPr>
              <w:t>rsta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76C5" w14:textId="77777777" w:rsidR="003D0BA7" w:rsidRPr="00273D66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I</w:t>
            </w:r>
            <w:r w:rsidR="00426BAF" w:rsidRPr="00273D66">
              <w:rPr>
                <w:b/>
                <w:lang w:val="hr-HR"/>
              </w:rPr>
              <w:t>znos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413B" w14:textId="77777777" w:rsidR="003D0BA7" w:rsidRPr="00273D66" w:rsidRDefault="003D0BA7" w:rsidP="00426BAF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P</w:t>
            </w:r>
            <w:r w:rsidR="00426BAF" w:rsidRPr="00273D66">
              <w:rPr>
                <w:b/>
                <w:lang w:val="hr-HR"/>
              </w:rPr>
              <w:t>ravna osoba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29DB" w14:textId="77777777" w:rsidR="003D0BA7" w:rsidRPr="00273D66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B</w:t>
            </w:r>
            <w:r w:rsidR="003D0BA7" w:rsidRPr="00273D66">
              <w:rPr>
                <w:b/>
                <w:lang w:val="hr-HR"/>
              </w:rPr>
              <w:t>roj dokumenta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A3F5" w14:textId="77777777" w:rsidR="003D0BA7" w:rsidRPr="00273D66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Datum izdavanja jamstva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A8FA" w14:textId="77777777" w:rsidR="003D0BA7" w:rsidRPr="00273D66" w:rsidRDefault="00426BAF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Datum isteka jamstva</w:t>
            </w:r>
          </w:p>
        </w:tc>
      </w:tr>
      <w:tr w:rsidR="0077208A" w:rsidRPr="00273D66" w14:paraId="62C87F2A" w14:textId="77777777" w:rsidTr="0077208A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8285" w14:textId="77777777" w:rsidR="0077208A" w:rsidRPr="00273D66" w:rsidRDefault="0077208A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CF47" w14:textId="77777777" w:rsidR="0077208A" w:rsidRPr="00273D66" w:rsidRDefault="0077208A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C203" w14:textId="77777777" w:rsidR="0077208A" w:rsidRPr="00273D66" w:rsidRDefault="0077208A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 xml:space="preserve">  75.000,00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EA84" w14:textId="77777777" w:rsidR="0077208A" w:rsidRPr="00273D66" w:rsidRDefault="0077208A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Odašiljači i veze d.o.o.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CCB4" w14:textId="77777777" w:rsidR="0077208A" w:rsidRPr="00273D66" w:rsidRDefault="0074722E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OV-1052/2023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EDE1" w14:textId="77777777" w:rsidR="0077208A" w:rsidRPr="00273D66" w:rsidRDefault="0074722E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01.02.2023.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ABE70" w14:textId="77777777" w:rsidR="0077208A" w:rsidRPr="00273D66" w:rsidRDefault="0074722E" w:rsidP="0074722E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31.05.2026.</w:t>
            </w:r>
          </w:p>
        </w:tc>
      </w:tr>
      <w:tr w:rsidR="0077208A" w:rsidRPr="00273D66" w14:paraId="5375008E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35C1B" w14:textId="77777777" w:rsidR="0077208A" w:rsidRPr="00273D66" w:rsidRDefault="0077208A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141B1" w14:textId="77777777" w:rsidR="0077208A" w:rsidRPr="00273D66" w:rsidRDefault="0077208A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DA86" w14:textId="77777777" w:rsidR="0077208A" w:rsidRPr="00273D66" w:rsidRDefault="009F6D45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20.000,00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91B80" w14:textId="77777777" w:rsidR="0077208A" w:rsidRPr="00273D66" w:rsidRDefault="009F6D45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C8A7" w14:textId="77777777" w:rsidR="0077208A" w:rsidRPr="00273D66" w:rsidRDefault="0074722E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OV-8202/2023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8FA1" w14:textId="77777777" w:rsidR="0077208A" w:rsidRPr="00273D66" w:rsidRDefault="0074722E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C89D" w14:textId="77777777" w:rsidR="0077208A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kolovoz 2025.</w:t>
            </w:r>
          </w:p>
        </w:tc>
      </w:tr>
      <w:tr w:rsidR="00AA5081" w:rsidRPr="00273D66" w14:paraId="565B8D1C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33967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3.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DFAE2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EA178" w14:textId="77777777" w:rsidR="00AA5081" w:rsidRPr="00273D66" w:rsidRDefault="00AA5081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20.000,00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4BB1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89A3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OV-8203/2023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FEDF" w14:textId="77777777" w:rsidR="00AA5081" w:rsidRPr="00273D66" w:rsidRDefault="00AA5081" w:rsidP="0079351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5D86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kolovoz 2025.</w:t>
            </w:r>
          </w:p>
        </w:tc>
      </w:tr>
      <w:tr w:rsidR="00AA5081" w:rsidRPr="00273D66" w14:paraId="2B6A5580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4431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4.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1B730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bjanko 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D666E" w14:textId="77777777" w:rsidR="00AA5081" w:rsidRPr="00273D66" w:rsidRDefault="00AA5081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150.000,00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7A6F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Agencija za elektroničke medije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9A17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OV-8204/2023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2CCF" w14:textId="77777777" w:rsidR="00AA5081" w:rsidRPr="00273D66" w:rsidRDefault="00AA5081" w:rsidP="00793511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20.07.2023.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FF3D7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kolovoz 2025.</w:t>
            </w:r>
          </w:p>
        </w:tc>
      </w:tr>
      <w:tr w:rsidR="00AA5081" w:rsidRPr="00273D66" w14:paraId="506999EB" w14:textId="77777777" w:rsidTr="00DB164C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ED389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5.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605E9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zadužnica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9F00" w14:textId="77777777" w:rsidR="00AA5081" w:rsidRPr="00273D66" w:rsidRDefault="00AA5081" w:rsidP="009F6D45">
            <w:pPr>
              <w:spacing w:after="0"/>
              <w:ind w:left="0" w:firstLine="0"/>
              <w:jc w:val="right"/>
              <w:rPr>
                <w:lang w:val="hr-HR"/>
              </w:rPr>
            </w:pPr>
            <w:r w:rsidRPr="00273D66">
              <w:rPr>
                <w:lang w:val="hr-HR"/>
              </w:rPr>
              <w:t>2.640,00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974B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RH, Ministarstvo obrane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F5A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OV-12097/2023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D0C6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31.10.2023.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B14CB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lang w:val="hr-HR"/>
              </w:rPr>
            </w:pPr>
            <w:r w:rsidRPr="00273D66">
              <w:rPr>
                <w:lang w:val="hr-HR"/>
              </w:rPr>
              <w:t>15.01.2024.</w:t>
            </w:r>
          </w:p>
        </w:tc>
      </w:tr>
      <w:tr w:rsidR="00AA5081" w:rsidRPr="00273D66" w14:paraId="0418A281" w14:textId="77777777" w:rsidTr="00182EC0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E42B50B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285DAE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Ukupno: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79ED1A1" w14:textId="77777777" w:rsidR="00AA5081" w:rsidRPr="00273D66" w:rsidRDefault="00C4435B" w:rsidP="0074722E">
            <w:pPr>
              <w:spacing w:after="0"/>
              <w:ind w:left="0" w:firstLine="0"/>
              <w:jc w:val="right"/>
              <w:rPr>
                <w:b/>
                <w:bCs/>
                <w:lang w:val="hr-HR"/>
              </w:rPr>
            </w:pPr>
            <w:r w:rsidRPr="00273D66">
              <w:rPr>
                <w:b/>
                <w:bCs/>
                <w:lang w:val="hr-HR"/>
              </w:rPr>
              <w:fldChar w:fldCharType="begin"/>
            </w:r>
            <w:r w:rsidRPr="00273D66">
              <w:rPr>
                <w:b/>
                <w:bCs/>
                <w:lang w:val="hr-HR"/>
              </w:rPr>
              <w:instrText xml:space="preserve"> =SUM(ABOVE) </w:instrText>
            </w:r>
            <w:r w:rsidRPr="00273D66">
              <w:rPr>
                <w:b/>
                <w:bCs/>
                <w:lang w:val="hr-HR"/>
              </w:rPr>
              <w:fldChar w:fldCharType="separate"/>
            </w:r>
            <w:r w:rsidRPr="00273D66">
              <w:rPr>
                <w:b/>
                <w:bCs/>
                <w:noProof/>
                <w:lang w:val="hr-HR"/>
              </w:rPr>
              <w:t>267.640</w:t>
            </w:r>
            <w:r w:rsidRPr="00273D66">
              <w:rPr>
                <w:b/>
                <w:bCs/>
                <w:lang w:val="hr-HR"/>
              </w:rPr>
              <w:fldChar w:fldCharType="end"/>
            </w:r>
            <w:r w:rsidRPr="00273D66">
              <w:rPr>
                <w:b/>
                <w:bCs/>
                <w:lang w:val="hr-HR"/>
              </w:rPr>
              <w:t>,00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2DCB2CD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14:paraId="17C44DD9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0EB3C8C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7EA1F9" w14:textId="77777777" w:rsidR="00AA5081" w:rsidRPr="00273D66" w:rsidRDefault="00AA5081" w:rsidP="00DB164C">
            <w:pPr>
              <w:spacing w:after="0"/>
              <w:ind w:left="0" w:firstLine="0"/>
              <w:jc w:val="left"/>
              <w:rPr>
                <w:b/>
                <w:lang w:val="hr-HR"/>
              </w:rPr>
            </w:pPr>
            <w:r w:rsidRPr="00273D66">
              <w:rPr>
                <w:b/>
                <w:lang w:val="hr-HR"/>
              </w:rPr>
              <w:t> </w:t>
            </w:r>
          </w:p>
        </w:tc>
      </w:tr>
    </w:tbl>
    <w:p w14:paraId="401EE88F" w14:textId="77777777" w:rsidR="003D0BA7" w:rsidRPr="00273D66" w:rsidRDefault="003D0BA7" w:rsidP="00F57DEE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7CCC8A8A" w14:textId="77777777" w:rsidR="00B607E0" w:rsidRPr="00273D66" w:rsidRDefault="00AD619F" w:rsidP="00461DDB">
      <w:pPr>
        <w:pStyle w:val="ListParagraph"/>
        <w:spacing w:after="0" w:line="276" w:lineRule="auto"/>
        <w:ind w:left="426" w:firstLine="0"/>
        <w:rPr>
          <w:sz w:val="22"/>
          <w:szCs w:val="22"/>
          <w:lang w:val="hr-HR"/>
        </w:rPr>
      </w:pPr>
      <w:r w:rsidRPr="00273D66">
        <w:rPr>
          <w:sz w:val="22"/>
          <w:szCs w:val="22"/>
          <w:lang w:val="hr-HR"/>
        </w:rPr>
        <w:tab/>
      </w:r>
      <w:r w:rsidRPr="00273D66">
        <w:rPr>
          <w:sz w:val="22"/>
          <w:szCs w:val="22"/>
          <w:lang w:val="hr-HR"/>
        </w:rPr>
        <w:tab/>
      </w:r>
      <w:r w:rsidRPr="00273D66">
        <w:rPr>
          <w:sz w:val="22"/>
          <w:szCs w:val="22"/>
          <w:lang w:val="hr-HR"/>
        </w:rPr>
        <w:tab/>
      </w:r>
    </w:p>
    <w:p w14:paraId="4DEBD31B" w14:textId="77777777" w:rsidR="00B607E0" w:rsidRPr="00273D66" w:rsidRDefault="00B607E0">
      <w:pPr>
        <w:spacing w:after="0"/>
        <w:ind w:left="0" w:firstLine="0"/>
        <w:jc w:val="left"/>
        <w:rPr>
          <w:sz w:val="22"/>
          <w:szCs w:val="22"/>
          <w:lang w:val="hr-HR"/>
        </w:rPr>
      </w:pPr>
      <w:r w:rsidRPr="00273D66">
        <w:rPr>
          <w:sz w:val="22"/>
          <w:szCs w:val="22"/>
          <w:lang w:val="hr-HR"/>
        </w:rPr>
        <w:br w:type="page"/>
      </w:r>
    </w:p>
    <w:p w14:paraId="6B0EA020" w14:textId="77777777" w:rsidR="003D1686" w:rsidRPr="001C74F6" w:rsidRDefault="003D1686" w:rsidP="003D1686">
      <w:pPr>
        <w:pStyle w:val="ListParagraph"/>
        <w:spacing w:after="0" w:line="276" w:lineRule="auto"/>
        <w:ind w:left="1844" w:firstLine="283"/>
        <w:rPr>
          <w:b/>
          <w:sz w:val="24"/>
          <w:szCs w:val="24"/>
          <w:lang w:val="hr-HR"/>
        </w:rPr>
      </w:pPr>
      <w:r w:rsidRPr="001C74F6">
        <w:rPr>
          <w:b/>
          <w:sz w:val="24"/>
          <w:szCs w:val="24"/>
          <w:lang w:val="hr-HR"/>
        </w:rPr>
        <w:lastRenderedPageBreak/>
        <w:t>Sudski sporovi u tijeku na dan 31.12.202</w:t>
      </w:r>
      <w:r w:rsidR="007C44E5" w:rsidRPr="001C74F6">
        <w:rPr>
          <w:b/>
          <w:sz w:val="24"/>
          <w:szCs w:val="24"/>
          <w:lang w:val="hr-HR"/>
        </w:rPr>
        <w:t>3</w:t>
      </w:r>
      <w:r w:rsidRPr="001C74F6">
        <w:rPr>
          <w:b/>
          <w:sz w:val="24"/>
          <w:szCs w:val="24"/>
          <w:lang w:val="hr-HR"/>
        </w:rPr>
        <w:t>.</w:t>
      </w:r>
    </w:p>
    <w:p w14:paraId="2B21EC5A" w14:textId="77777777" w:rsidR="00B607E0" w:rsidRPr="001C74F6" w:rsidRDefault="00B607E0" w:rsidP="00B607E0">
      <w:pPr>
        <w:spacing w:before="240" w:line="276" w:lineRule="auto"/>
        <w:ind w:left="49" w:firstLine="0"/>
        <w:rPr>
          <w:sz w:val="22"/>
          <w:szCs w:val="22"/>
          <w:lang w:val="hr-HR"/>
        </w:rPr>
      </w:pPr>
      <w:r w:rsidRPr="001C74F6">
        <w:rPr>
          <w:sz w:val="22"/>
          <w:szCs w:val="22"/>
          <w:lang w:val="hr-HR"/>
        </w:rPr>
        <w:t xml:space="preserve">Potencijalne obveze po osnovi sudskih sporova u tijeku  uvećane za sudske troškove i pripadajuće zakonske kamate u iznosu od </w:t>
      </w:r>
      <w:r w:rsidR="002177EB" w:rsidRPr="001C74F6">
        <w:rPr>
          <w:sz w:val="22"/>
          <w:szCs w:val="22"/>
          <w:lang w:val="hr-HR"/>
        </w:rPr>
        <w:t>6.714,16 eura</w:t>
      </w:r>
      <w:r w:rsidRPr="001C74F6">
        <w:rPr>
          <w:sz w:val="22"/>
          <w:szCs w:val="22"/>
          <w:lang w:val="hr-HR"/>
        </w:rPr>
        <w:t xml:space="preserve"> obračunate su za sljedeće sudske sporove:</w:t>
      </w:r>
    </w:p>
    <w:p w14:paraId="4F7514EE" w14:textId="77777777" w:rsidR="003D1686" w:rsidRPr="001C74F6" w:rsidRDefault="003D1686" w:rsidP="00B607E0">
      <w:pPr>
        <w:spacing w:before="240" w:line="276" w:lineRule="auto"/>
        <w:ind w:left="49" w:firstLine="0"/>
        <w:rPr>
          <w:sz w:val="22"/>
          <w:szCs w:val="22"/>
          <w:lang w:val="hr-HR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365"/>
        <w:gridCol w:w="1134"/>
        <w:gridCol w:w="1276"/>
        <w:gridCol w:w="1134"/>
        <w:gridCol w:w="1134"/>
        <w:gridCol w:w="1134"/>
        <w:gridCol w:w="1275"/>
      </w:tblGrid>
      <w:tr w:rsidR="001C74F6" w:rsidRPr="001C74F6" w14:paraId="33072027" w14:textId="77777777" w:rsidTr="00DA1A00">
        <w:trPr>
          <w:trHeight w:val="690"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0DF4D" w14:textId="77777777" w:rsidR="003D1686" w:rsidRPr="001C74F6" w:rsidRDefault="003D1686" w:rsidP="00D271B8">
            <w:pPr>
              <w:spacing w:before="40" w:after="40"/>
              <w:ind w:left="0" w:firstLine="0"/>
              <w:jc w:val="left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Redni broj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37BF0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Tužitelj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66A6C3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Broj predmeta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87B5A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Glavnica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116EB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Kamata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90C70" w14:textId="77777777" w:rsidR="003D1686" w:rsidRPr="001C74F6" w:rsidRDefault="003D1686" w:rsidP="001C5A87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Doprinosi na plaću 1</w:t>
            </w:r>
            <w:r w:rsidR="001C5A87" w:rsidRPr="001C74F6">
              <w:rPr>
                <w:b/>
                <w:lang w:val="hr-HR"/>
              </w:rPr>
              <w:t>7</w:t>
            </w:r>
            <w:r w:rsidRPr="001C74F6">
              <w:rPr>
                <w:b/>
                <w:lang w:val="hr-HR"/>
              </w:rPr>
              <w:t>,</w:t>
            </w:r>
            <w:r w:rsidR="001C5A87" w:rsidRPr="001C74F6">
              <w:rPr>
                <w:b/>
                <w:lang w:val="hr-HR"/>
              </w:rPr>
              <w:t>2</w:t>
            </w:r>
            <w:r w:rsidRPr="001C74F6">
              <w:rPr>
                <w:b/>
                <w:lang w:val="hr-HR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F0114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Sudski troškovi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D90E51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Ukupno</w:t>
            </w:r>
          </w:p>
        </w:tc>
      </w:tr>
      <w:tr w:rsidR="001C74F6" w:rsidRPr="001C74F6" w14:paraId="36B1C7EC" w14:textId="77777777" w:rsidTr="00DA1A00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5322" w14:textId="77777777" w:rsidR="003D1686" w:rsidRPr="001C74F6" w:rsidRDefault="00B1234D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1</w:t>
            </w:r>
            <w:r w:rsidR="003D1686" w:rsidRPr="001C74F6">
              <w:rPr>
                <w:lang w:val="hr-HR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675" w14:textId="77777777" w:rsidR="003D1686" w:rsidRPr="001C74F6" w:rsidRDefault="00F334E9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fizička osoba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9ECE" w14:textId="77777777" w:rsidR="003D1686" w:rsidRPr="001C74F6" w:rsidRDefault="003D1686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Pr-654/18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8AF" w14:textId="77777777" w:rsidR="003D1686" w:rsidRPr="001C74F6" w:rsidRDefault="005F741D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1.568,00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AEDD" w14:textId="77777777" w:rsidR="003D1686" w:rsidRPr="001C74F6" w:rsidRDefault="009A130B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566,77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474" w14:textId="77777777" w:rsidR="003D1686" w:rsidRPr="001C74F6" w:rsidRDefault="009A130B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0</w:t>
            </w:r>
            <w:r w:rsidR="003D1686" w:rsidRPr="001C74F6">
              <w:rPr>
                <w:lang w:val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839" w14:textId="77777777" w:rsidR="003D1686" w:rsidRPr="001C74F6" w:rsidRDefault="009A130B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1.900,00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73A1" w14:textId="77777777" w:rsidR="003D1686" w:rsidRPr="001C74F6" w:rsidRDefault="009A130B" w:rsidP="00D271B8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fldChar w:fldCharType="begin"/>
            </w:r>
            <w:r w:rsidRPr="001C74F6">
              <w:rPr>
                <w:lang w:val="hr-HR"/>
              </w:rPr>
              <w:instrText xml:space="preserve"> =SUM(LEFT) </w:instrText>
            </w:r>
            <w:r w:rsidRPr="001C74F6">
              <w:rPr>
                <w:lang w:val="hr-HR"/>
              </w:rPr>
              <w:fldChar w:fldCharType="separate"/>
            </w:r>
            <w:r w:rsidRPr="001C74F6">
              <w:rPr>
                <w:noProof/>
                <w:lang w:val="hr-HR"/>
              </w:rPr>
              <w:t>4.034,77</w:t>
            </w:r>
            <w:r w:rsidRPr="001C74F6">
              <w:rPr>
                <w:lang w:val="hr-HR"/>
              </w:rPr>
              <w:fldChar w:fldCharType="end"/>
            </w:r>
          </w:p>
        </w:tc>
      </w:tr>
      <w:tr w:rsidR="001C74F6" w:rsidRPr="001C74F6" w14:paraId="42DDE487" w14:textId="77777777" w:rsidTr="00DA1A00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79CE" w14:textId="77777777" w:rsidR="007C44E5" w:rsidRPr="001C74F6" w:rsidRDefault="007C44E5" w:rsidP="00D271B8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2.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C234" w14:textId="77777777" w:rsidR="007C44E5" w:rsidRPr="001C74F6" w:rsidRDefault="007C44E5" w:rsidP="00A854CA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fizička osoba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3416" w14:textId="77777777" w:rsidR="007C44E5" w:rsidRPr="001C74F6" w:rsidRDefault="007C44E5" w:rsidP="009D580B">
            <w:pPr>
              <w:spacing w:before="40" w:after="40"/>
              <w:ind w:left="0" w:firstLine="0"/>
              <w:jc w:val="center"/>
              <w:rPr>
                <w:lang w:val="hr-HR"/>
              </w:rPr>
            </w:pPr>
            <w:r w:rsidRPr="001C74F6">
              <w:rPr>
                <w:lang w:val="hr-HR"/>
              </w:rPr>
              <w:t>Pr-</w:t>
            </w:r>
            <w:r w:rsidR="009D580B" w:rsidRPr="001C74F6">
              <w:rPr>
                <w:lang w:val="hr-HR"/>
              </w:rPr>
              <w:t>6515/</w:t>
            </w:r>
            <w:r w:rsidRPr="001C74F6">
              <w:rPr>
                <w:lang w:val="hr-HR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F8BF" w14:textId="77777777" w:rsidR="007C44E5" w:rsidRPr="001C74F6" w:rsidRDefault="005F741D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1.474,15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9F8A" w14:textId="77777777" w:rsidR="007C44E5" w:rsidRPr="001C74F6" w:rsidRDefault="009A130B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526,98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9370B" w14:textId="77777777" w:rsidR="007C44E5" w:rsidRPr="001C74F6" w:rsidRDefault="009A130B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253,55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688" w14:textId="77777777" w:rsidR="007C44E5" w:rsidRPr="001C74F6" w:rsidRDefault="009A130B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t>424,71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73877" w14:textId="77777777" w:rsidR="007C44E5" w:rsidRPr="001C74F6" w:rsidRDefault="009A130B" w:rsidP="00A854CA">
            <w:pPr>
              <w:spacing w:before="40" w:after="40"/>
              <w:ind w:left="0" w:firstLine="0"/>
              <w:jc w:val="right"/>
              <w:rPr>
                <w:lang w:val="hr-HR"/>
              </w:rPr>
            </w:pPr>
            <w:r w:rsidRPr="001C74F6">
              <w:rPr>
                <w:lang w:val="hr-HR"/>
              </w:rPr>
              <w:fldChar w:fldCharType="begin"/>
            </w:r>
            <w:r w:rsidRPr="001C74F6">
              <w:rPr>
                <w:lang w:val="hr-HR"/>
              </w:rPr>
              <w:instrText xml:space="preserve"> =SUM(left) </w:instrText>
            </w:r>
            <w:r w:rsidRPr="001C74F6">
              <w:rPr>
                <w:lang w:val="hr-HR"/>
              </w:rPr>
              <w:fldChar w:fldCharType="separate"/>
            </w:r>
            <w:r w:rsidRPr="001C74F6">
              <w:rPr>
                <w:noProof/>
                <w:lang w:val="hr-HR"/>
              </w:rPr>
              <w:t>2.679,39</w:t>
            </w:r>
            <w:r w:rsidRPr="001C74F6">
              <w:rPr>
                <w:lang w:val="hr-HR"/>
              </w:rPr>
              <w:fldChar w:fldCharType="end"/>
            </w:r>
          </w:p>
        </w:tc>
      </w:tr>
      <w:tr w:rsidR="001C74F6" w:rsidRPr="001C74F6" w14:paraId="159C9606" w14:textId="77777777" w:rsidTr="00DA1A00">
        <w:trPr>
          <w:trHeight w:val="6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94EAD4" w14:textId="77777777" w:rsidR="007C44E5" w:rsidRPr="001C74F6" w:rsidRDefault="007C44E5" w:rsidP="005532DE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Sveukupno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1B469" w14:textId="77777777" w:rsidR="007C44E5" w:rsidRPr="001C74F6" w:rsidRDefault="007C44E5" w:rsidP="005532DE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73017A" w14:textId="77777777" w:rsidR="007C44E5" w:rsidRPr="001C74F6" w:rsidRDefault="009A130B" w:rsidP="000C54D6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fldChar w:fldCharType="begin"/>
            </w:r>
            <w:r w:rsidRPr="001C74F6">
              <w:rPr>
                <w:b/>
                <w:lang w:val="hr-HR"/>
              </w:rPr>
              <w:instrText xml:space="preserve"> =SUM(ABOVE) </w:instrText>
            </w:r>
            <w:r w:rsidRPr="001C74F6">
              <w:rPr>
                <w:b/>
                <w:lang w:val="hr-HR"/>
              </w:rPr>
              <w:fldChar w:fldCharType="separate"/>
            </w:r>
            <w:r w:rsidRPr="001C74F6">
              <w:rPr>
                <w:b/>
                <w:noProof/>
                <w:lang w:val="hr-HR"/>
              </w:rPr>
              <w:t>3.042,15</w:t>
            </w:r>
            <w:r w:rsidRPr="001C74F6">
              <w:rPr>
                <w:b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0C7D49" w14:textId="77777777" w:rsidR="007C44E5" w:rsidRPr="001C74F6" w:rsidRDefault="009A130B" w:rsidP="00EE1803">
            <w:pPr>
              <w:spacing w:before="40" w:after="40"/>
              <w:ind w:left="0" w:firstLine="0"/>
              <w:jc w:val="center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fldChar w:fldCharType="begin"/>
            </w:r>
            <w:r w:rsidRPr="001C74F6">
              <w:rPr>
                <w:b/>
                <w:lang w:val="hr-HR"/>
              </w:rPr>
              <w:instrText xml:space="preserve"> =SUM(ABOVE) </w:instrText>
            </w:r>
            <w:r w:rsidRPr="001C74F6">
              <w:rPr>
                <w:b/>
                <w:lang w:val="hr-HR"/>
              </w:rPr>
              <w:fldChar w:fldCharType="separate"/>
            </w:r>
            <w:r w:rsidRPr="001C74F6">
              <w:rPr>
                <w:b/>
                <w:noProof/>
                <w:lang w:val="hr-HR"/>
              </w:rPr>
              <w:t>1.093,75</w:t>
            </w:r>
            <w:r w:rsidRPr="001C74F6">
              <w:rPr>
                <w:b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F3CCC" w14:textId="77777777" w:rsidR="007C44E5" w:rsidRPr="001C74F6" w:rsidRDefault="009A130B" w:rsidP="00EE1803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fldChar w:fldCharType="begin"/>
            </w:r>
            <w:r w:rsidRPr="001C74F6">
              <w:rPr>
                <w:b/>
                <w:lang w:val="hr-HR"/>
              </w:rPr>
              <w:instrText xml:space="preserve"> =SUM(ABOVE) </w:instrText>
            </w:r>
            <w:r w:rsidRPr="001C74F6">
              <w:rPr>
                <w:b/>
                <w:lang w:val="hr-HR"/>
              </w:rPr>
              <w:fldChar w:fldCharType="separate"/>
            </w:r>
            <w:r w:rsidRPr="001C74F6">
              <w:rPr>
                <w:b/>
                <w:noProof/>
                <w:lang w:val="hr-HR"/>
              </w:rPr>
              <w:t>253,55</w:t>
            </w:r>
            <w:r w:rsidRPr="001C74F6">
              <w:rPr>
                <w:b/>
                <w:lang w:val="hr-HR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3C51CC" w14:textId="77777777" w:rsidR="007C44E5" w:rsidRPr="001C74F6" w:rsidRDefault="009A130B" w:rsidP="005532DE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fldChar w:fldCharType="begin"/>
            </w:r>
            <w:r w:rsidRPr="001C74F6">
              <w:rPr>
                <w:b/>
                <w:lang w:val="hr-HR"/>
              </w:rPr>
              <w:instrText xml:space="preserve"> =SUM(ABOVE) </w:instrText>
            </w:r>
            <w:r w:rsidRPr="001C74F6">
              <w:rPr>
                <w:b/>
                <w:lang w:val="hr-HR"/>
              </w:rPr>
              <w:fldChar w:fldCharType="separate"/>
            </w:r>
            <w:r w:rsidRPr="001C74F6">
              <w:rPr>
                <w:b/>
                <w:noProof/>
                <w:lang w:val="hr-HR"/>
              </w:rPr>
              <w:t>2.324,71</w:t>
            </w:r>
            <w:r w:rsidRPr="001C74F6">
              <w:rPr>
                <w:b/>
                <w:lang w:val="hr-HR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AEA56" w14:textId="77777777" w:rsidR="007C44E5" w:rsidRPr="001C74F6" w:rsidRDefault="009A130B" w:rsidP="000C54D6">
            <w:pPr>
              <w:spacing w:before="40" w:after="40"/>
              <w:ind w:left="0" w:firstLine="0"/>
              <w:jc w:val="right"/>
              <w:rPr>
                <w:b/>
                <w:lang w:val="hr-HR"/>
              </w:rPr>
            </w:pPr>
            <w:r w:rsidRPr="001C74F6">
              <w:rPr>
                <w:b/>
                <w:lang w:val="hr-HR"/>
              </w:rPr>
              <w:fldChar w:fldCharType="begin"/>
            </w:r>
            <w:r w:rsidRPr="001C74F6">
              <w:rPr>
                <w:b/>
                <w:lang w:val="hr-HR"/>
              </w:rPr>
              <w:instrText xml:space="preserve"> =SUM(ABOVE) </w:instrText>
            </w:r>
            <w:r w:rsidRPr="001C74F6">
              <w:rPr>
                <w:b/>
                <w:lang w:val="hr-HR"/>
              </w:rPr>
              <w:fldChar w:fldCharType="separate"/>
            </w:r>
            <w:r w:rsidRPr="001C74F6">
              <w:rPr>
                <w:b/>
                <w:noProof/>
                <w:lang w:val="hr-HR"/>
              </w:rPr>
              <w:t>6.714,16</w:t>
            </w:r>
            <w:r w:rsidRPr="001C74F6">
              <w:rPr>
                <w:b/>
                <w:lang w:val="hr-HR"/>
              </w:rPr>
              <w:fldChar w:fldCharType="end"/>
            </w:r>
          </w:p>
        </w:tc>
      </w:tr>
    </w:tbl>
    <w:p w14:paraId="3334212C" w14:textId="77777777" w:rsidR="006B3631" w:rsidRPr="001C74F6" w:rsidRDefault="006B3631" w:rsidP="00B72180">
      <w:pPr>
        <w:pStyle w:val="ListParagraph"/>
        <w:spacing w:line="360" w:lineRule="auto"/>
        <w:ind w:left="0" w:firstLine="0"/>
        <w:rPr>
          <w:sz w:val="22"/>
          <w:szCs w:val="22"/>
          <w:lang w:val="hr-HR"/>
        </w:rPr>
      </w:pPr>
    </w:p>
    <w:p w14:paraId="71E96947" w14:textId="77777777" w:rsidR="00381CAF" w:rsidRPr="001C74F6" w:rsidRDefault="009D580B" w:rsidP="00B72180">
      <w:pPr>
        <w:pStyle w:val="ListParagraph"/>
        <w:spacing w:line="360" w:lineRule="auto"/>
        <w:ind w:left="0" w:firstLine="0"/>
        <w:rPr>
          <w:sz w:val="22"/>
          <w:szCs w:val="22"/>
          <w:lang w:val="hr-HR"/>
        </w:rPr>
      </w:pPr>
      <w:r w:rsidRPr="001C74F6">
        <w:rPr>
          <w:sz w:val="22"/>
          <w:szCs w:val="22"/>
          <w:lang w:val="hr-HR"/>
        </w:rPr>
        <w:t>S</w:t>
      </w:r>
      <w:r w:rsidR="00381CAF" w:rsidRPr="001C74F6">
        <w:rPr>
          <w:sz w:val="22"/>
          <w:szCs w:val="22"/>
          <w:lang w:val="hr-HR"/>
        </w:rPr>
        <w:t>tavk</w:t>
      </w:r>
      <w:r w:rsidRPr="001C74F6">
        <w:rPr>
          <w:sz w:val="22"/>
          <w:szCs w:val="22"/>
          <w:lang w:val="hr-HR"/>
        </w:rPr>
        <w:t>a</w:t>
      </w:r>
      <w:r w:rsidR="00381CAF" w:rsidRPr="001C74F6">
        <w:rPr>
          <w:sz w:val="22"/>
          <w:szCs w:val="22"/>
          <w:lang w:val="hr-HR"/>
        </w:rPr>
        <w:t xml:space="preserve"> 1. </w:t>
      </w:r>
      <w:r w:rsidRPr="001C74F6">
        <w:rPr>
          <w:sz w:val="22"/>
          <w:szCs w:val="22"/>
          <w:lang w:val="hr-HR"/>
        </w:rPr>
        <w:t xml:space="preserve"> </w:t>
      </w:r>
      <w:r w:rsidR="00381CAF" w:rsidRPr="001C74F6">
        <w:rPr>
          <w:sz w:val="22"/>
          <w:szCs w:val="22"/>
          <w:lang w:val="hr-HR"/>
        </w:rPr>
        <w:t xml:space="preserve">razlog tužbe </w:t>
      </w:r>
      <w:r w:rsidRPr="001C74F6">
        <w:rPr>
          <w:sz w:val="22"/>
          <w:szCs w:val="22"/>
          <w:lang w:val="hr-HR"/>
        </w:rPr>
        <w:t xml:space="preserve">je </w:t>
      </w:r>
      <w:r w:rsidR="00381CAF" w:rsidRPr="001C74F6">
        <w:rPr>
          <w:sz w:val="22"/>
          <w:szCs w:val="22"/>
          <w:lang w:val="hr-HR"/>
        </w:rPr>
        <w:t xml:space="preserve">isplata troškova prijevoza, </w:t>
      </w:r>
      <w:r w:rsidRPr="001C74F6">
        <w:rPr>
          <w:sz w:val="22"/>
          <w:szCs w:val="22"/>
          <w:lang w:val="hr-HR"/>
        </w:rPr>
        <w:t>stavka 2.</w:t>
      </w:r>
      <w:r w:rsidR="00381CAF" w:rsidRPr="001C74F6">
        <w:rPr>
          <w:sz w:val="22"/>
          <w:szCs w:val="22"/>
          <w:lang w:val="hr-HR"/>
        </w:rPr>
        <w:t xml:space="preserve"> odnos</w:t>
      </w:r>
      <w:r w:rsidRPr="001C74F6">
        <w:rPr>
          <w:sz w:val="22"/>
          <w:szCs w:val="22"/>
          <w:lang w:val="hr-HR"/>
        </w:rPr>
        <w:t>i</w:t>
      </w:r>
      <w:r w:rsidR="00381CAF" w:rsidRPr="001C74F6">
        <w:rPr>
          <w:sz w:val="22"/>
          <w:szCs w:val="22"/>
          <w:lang w:val="hr-HR"/>
        </w:rPr>
        <w:t xml:space="preserve"> se na isplatu razlike plaće zbog nepoštivanja Kolektivnog ugovora temeljem odredaba izmjena i dopuna Dodatka sporazumu o osnovici plaće u javnim službama sklopljenog dana 26.10.2011. i arbitražne odluke od 07.</w:t>
      </w:r>
      <w:r w:rsidR="00567A18" w:rsidRPr="001C74F6">
        <w:rPr>
          <w:sz w:val="22"/>
          <w:szCs w:val="22"/>
          <w:lang w:val="hr-HR"/>
        </w:rPr>
        <w:t xml:space="preserve"> </w:t>
      </w:r>
      <w:r w:rsidR="00381CAF" w:rsidRPr="001C74F6">
        <w:rPr>
          <w:sz w:val="22"/>
          <w:szCs w:val="22"/>
          <w:lang w:val="hr-HR"/>
        </w:rPr>
        <w:t>prosinca 2011.</w:t>
      </w:r>
      <w:r w:rsidR="00A36783" w:rsidRPr="001C74F6">
        <w:rPr>
          <w:sz w:val="22"/>
          <w:szCs w:val="22"/>
          <w:lang w:val="hr-HR"/>
        </w:rPr>
        <w:t xml:space="preserve"> </w:t>
      </w:r>
      <w:r w:rsidR="00381CAF" w:rsidRPr="001C74F6">
        <w:rPr>
          <w:sz w:val="22"/>
          <w:szCs w:val="22"/>
          <w:lang w:val="hr-HR"/>
        </w:rPr>
        <w:t>godine.</w:t>
      </w:r>
    </w:p>
    <w:p w14:paraId="2278AFE5" w14:textId="77777777" w:rsidR="003D1686" w:rsidRDefault="003D1686" w:rsidP="00B72180">
      <w:pPr>
        <w:pStyle w:val="ListParagraph"/>
        <w:spacing w:line="360" w:lineRule="auto"/>
        <w:ind w:left="0" w:firstLine="0"/>
        <w:rPr>
          <w:color w:val="4F6228" w:themeColor="accent3" w:themeShade="80"/>
          <w:sz w:val="22"/>
          <w:szCs w:val="22"/>
          <w:lang w:val="hr-HR"/>
        </w:rPr>
      </w:pPr>
    </w:p>
    <w:p w14:paraId="0B00BBA3" w14:textId="77777777" w:rsidR="00973D43" w:rsidRPr="00E450ED" w:rsidRDefault="00973D43" w:rsidP="00B72180">
      <w:pPr>
        <w:pStyle w:val="ListParagraph"/>
        <w:spacing w:line="360" w:lineRule="auto"/>
        <w:ind w:left="0" w:firstLine="0"/>
        <w:rPr>
          <w:color w:val="4F6228" w:themeColor="accent3" w:themeShade="80"/>
          <w:sz w:val="22"/>
          <w:szCs w:val="22"/>
          <w:lang w:val="hr-HR"/>
        </w:rPr>
      </w:pPr>
    </w:p>
    <w:p w14:paraId="362B0EB8" w14:textId="77777777" w:rsidR="00F06772" w:rsidRPr="005F04C1" w:rsidRDefault="00426016" w:rsidP="00B72180">
      <w:pPr>
        <w:spacing w:line="360" w:lineRule="auto"/>
        <w:ind w:left="0" w:firstLine="0"/>
        <w:jc w:val="center"/>
        <w:rPr>
          <w:b/>
          <w:sz w:val="22"/>
          <w:szCs w:val="22"/>
          <w:lang w:val="hr-HR"/>
        </w:rPr>
      </w:pPr>
      <w:r w:rsidRPr="005F04C1">
        <w:rPr>
          <w:b/>
          <w:sz w:val="22"/>
          <w:szCs w:val="22"/>
          <w:lang w:val="hr-HR"/>
        </w:rPr>
        <w:t>Prikaz novčanog tijeka</w:t>
      </w:r>
    </w:p>
    <w:p w14:paraId="2CE06CA8" w14:textId="77777777" w:rsidR="003D1686" w:rsidRPr="005F04C1" w:rsidRDefault="003D1686" w:rsidP="00B72180">
      <w:pPr>
        <w:spacing w:line="360" w:lineRule="auto"/>
        <w:ind w:left="0" w:firstLine="0"/>
        <w:jc w:val="center"/>
        <w:rPr>
          <w:b/>
          <w:sz w:val="22"/>
          <w:szCs w:val="22"/>
          <w:lang w:val="hr-HR"/>
        </w:rPr>
      </w:pPr>
    </w:p>
    <w:tbl>
      <w:tblPr>
        <w:tblW w:w="82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102"/>
        <w:gridCol w:w="1481"/>
      </w:tblGrid>
      <w:tr w:rsidR="005F04C1" w:rsidRPr="005F04C1" w14:paraId="10DC1216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38B52B45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1.1.</w:t>
            </w:r>
          </w:p>
        </w:tc>
        <w:tc>
          <w:tcPr>
            <w:tcW w:w="6263" w:type="dxa"/>
            <w:vAlign w:val="center"/>
          </w:tcPr>
          <w:p w14:paraId="1949BF6D" w14:textId="77777777" w:rsidR="00426016" w:rsidRPr="005F04C1" w:rsidRDefault="00426016" w:rsidP="00DA1A00">
            <w:pPr>
              <w:spacing w:after="0"/>
              <w:ind w:left="0" w:firstLine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>Ostvareni prihodi tijekom 20</w:t>
            </w:r>
            <w:r w:rsidR="00B95B08" w:rsidRPr="005F04C1">
              <w:rPr>
                <w:lang w:val="hr-HR"/>
              </w:rPr>
              <w:t>2</w:t>
            </w:r>
            <w:r w:rsidR="009E1E09" w:rsidRPr="005F04C1">
              <w:rPr>
                <w:lang w:val="hr-HR"/>
              </w:rPr>
              <w:t>3</w:t>
            </w:r>
            <w:r w:rsidRPr="005F04C1">
              <w:rPr>
                <w:lang w:val="hr-HR"/>
              </w:rPr>
              <w:t>. godine</w:t>
            </w:r>
          </w:p>
        </w:tc>
        <w:tc>
          <w:tcPr>
            <w:tcW w:w="1320" w:type="dxa"/>
            <w:vAlign w:val="center"/>
          </w:tcPr>
          <w:p w14:paraId="3D416568" w14:textId="77777777" w:rsidR="00426016" w:rsidRPr="005F04C1" w:rsidRDefault="00B43CF7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11.092.827,23</w:t>
            </w:r>
          </w:p>
        </w:tc>
      </w:tr>
      <w:tr w:rsidR="005F04C1" w:rsidRPr="005F04C1" w14:paraId="3AA7B412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65AE9E85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1.2.</w:t>
            </w:r>
          </w:p>
        </w:tc>
        <w:tc>
          <w:tcPr>
            <w:tcW w:w="6263" w:type="dxa"/>
            <w:vAlign w:val="center"/>
          </w:tcPr>
          <w:p w14:paraId="77044DEC" w14:textId="77777777" w:rsidR="00426016" w:rsidRPr="005F04C1" w:rsidRDefault="00426016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 xml:space="preserve">+ Preneseni prihodi iz </w:t>
            </w:r>
            <w:r w:rsidR="002E1193" w:rsidRPr="005F04C1">
              <w:rPr>
                <w:lang w:val="hr-HR"/>
              </w:rPr>
              <w:t xml:space="preserve">prethodnih </w:t>
            </w:r>
            <w:r w:rsidRPr="005F04C1">
              <w:rPr>
                <w:lang w:val="hr-HR"/>
              </w:rPr>
              <w:t>godin</w:t>
            </w:r>
            <w:r w:rsidR="008F2A9F" w:rsidRPr="005F04C1">
              <w:rPr>
                <w:lang w:val="hr-HR"/>
              </w:rPr>
              <w:t>a</w:t>
            </w:r>
          </w:p>
        </w:tc>
        <w:tc>
          <w:tcPr>
            <w:tcW w:w="1320" w:type="dxa"/>
            <w:vAlign w:val="center"/>
          </w:tcPr>
          <w:p w14:paraId="7B2E4F5E" w14:textId="77777777" w:rsidR="00426016" w:rsidRPr="005F04C1" w:rsidRDefault="00B43CF7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1.732.958,51</w:t>
            </w:r>
          </w:p>
        </w:tc>
      </w:tr>
      <w:tr w:rsidR="005F04C1" w:rsidRPr="005F04C1" w14:paraId="76704A94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4EB3F82C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1.3.</w:t>
            </w:r>
          </w:p>
        </w:tc>
        <w:tc>
          <w:tcPr>
            <w:tcW w:w="6263" w:type="dxa"/>
            <w:vAlign w:val="center"/>
          </w:tcPr>
          <w:p w14:paraId="69447D75" w14:textId="77777777" w:rsidR="00426016" w:rsidRPr="005F04C1" w:rsidRDefault="00110079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 xml:space="preserve">= UKUPNI PRIHODI   </w:t>
            </w:r>
          </w:p>
        </w:tc>
        <w:tc>
          <w:tcPr>
            <w:tcW w:w="1320" w:type="dxa"/>
            <w:vAlign w:val="center"/>
          </w:tcPr>
          <w:p w14:paraId="038DEAAB" w14:textId="77777777" w:rsidR="00426016" w:rsidRPr="005F04C1" w:rsidRDefault="00B43CF7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12.825.785,74</w:t>
            </w:r>
          </w:p>
        </w:tc>
      </w:tr>
      <w:tr w:rsidR="005F04C1" w:rsidRPr="005F04C1" w14:paraId="7C057E41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4CEA1344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1.4.</w:t>
            </w:r>
          </w:p>
        </w:tc>
        <w:tc>
          <w:tcPr>
            <w:tcW w:w="6263" w:type="dxa"/>
            <w:vAlign w:val="center"/>
          </w:tcPr>
          <w:p w14:paraId="4AF1E926" w14:textId="77777777" w:rsidR="00426016" w:rsidRPr="005F04C1" w:rsidRDefault="0067030A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 xml:space="preserve">-  UKUPNI RASHODI </w:t>
            </w:r>
          </w:p>
        </w:tc>
        <w:tc>
          <w:tcPr>
            <w:tcW w:w="1320" w:type="dxa"/>
            <w:vAlign w:val="center"/>
          </w:tcPr>
          <w:p w14:paraId="3D8A41A7" w14:textId="77777777" w:rsidR="00426016" w:rsidRPr="005F04C1" w:rsidRDefault="00510E99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10.523.511,34</w:t>
            </w:r>
          </w:p>
        </w:tc>
      </w:tr>
      <w:tr w:rsidR="005F04C1" w:rsidRPr="005F04C1" w14:paraId="79DA5D63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79C9749A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1.5.</w:t>
            </w:r>
          </w:p>
        </w:tc>
        <w:tc>
          <w:tcPr>
            <w:tcW w:w="6263" w:type="dxa"/>
            <w:vAlign w:val="center"/>
          </w:tcPr>
          <w:p w14:paraId="408B34DA" w14:textId="77777777" w:rsidR="00426016" w:rsidRPr="005F04C1" w:rsidRDefault="008D4C78" w:rsidP="008E12C1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b/>
                <w:bCs/>
                <w:lang w:val="hr-HR"/>
              </w:rPr>
              <w:t>= VIŠAK SREDSTAVA na dan 31.12.20</w:t>
            </w:r>
            <w:r w:rsidR="008142C3" w:rsidRPr="005F04C1">
              <w:rPr>
                <w:b/>
                <w:bCs/>
                <w:lang w:val="hr-HR"/>
              </w:rPr>
              <w:t>2</w:t>
            </w:r>
            <w:r w:rsidR="008E12C1" w:rsidRPr="005F04C1">
              <w:rPr>
                <w:b/>
                <w:bCs/>
                <w:lang w:val="hr-HR"/>
              </w:rPr>
              <w:t>3</w:t>
            </w:r>
            <w:r w:rsidRPr="005F04C1">
              <w:rPr>
                <w:b/>
                <w:bCs/>
                <w:lang w:val="hr-HR"/>
              </w:rPr>
              <w:t>.</w:t>
            </w:r>
          </w:p>
        </w:tc>
        <w:tc>
          <w:tcPr>
            <w:tcW w:w="1320" w:type="dxa"/>
            <w:vAlign w:val="center"/>
          </w:tcPr>
          <w:p w14:paraId="3777613E" w14:textId="77777777" w:rsidR="00426016" w:rsidRPr="005F04C1" w:rsidRDefault="00510E99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2.302.274,40</w:t>
            </w:r>
          </w:p>
        </w:tc>
      </w:tr>
      <w:tr w:rsidR="005F04C1" w:rsidRPr="005F04C1" w14:paraId="19E409F6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493DA550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1.6.</w:t>
            </w:r>
          </w:p>
        </w:tc>
        <w:tc>
          <w:tcPr>
            <w:tcW w:w="6263" w:type="dxa"/>
            <w:vAlign w:val="center"/>
          </w:tcPr>
          <w:p w14:paraId="5CFBBBC3" w14:textId="77777777" w:rsidR="00426016" w:rsidRPr="005F04C1" w:rsidRDefault="002808F8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>+ </w:t>
            </w:r>
            <w:r w:rsidR="003D0F43" w:rsidRPr="005F04C1">
              <w:rPr>
                <w:lang w:val="hr-HR"/>
              </w:rPr>
              <w:t>odgođeni</w:t>
            </w:r>
            <w:r w:rsidR="005B15DF" w:rsidRPr="005F04C1">
              <w:rPr>
                <w:lang w:val="hr-HR"/>
              </w:rPr>
              <w:t xml:space="preserve"> prihodi i obveze (239 i 29)</w:t>
            </w:r>
          </w:p>
        </w:tc>
        <w:tc>
          <w:tcPr>
            <w:tcW w:w="1320" w:type="dxa"/>
            <w:vAlign w:val="center"/>
          </w:tcPr>
          <w:p w14:paraId="405F0F8A" w14:textId="77777777" w:rsidR="00426016" w:rsidRPr="005F04C1" w:rsidRDefault="00510E99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646.834,65</w:t>
            </w:r>
          </w:p>
        </w:tc>
      </w:tr>
      <w:tr w:rsidR="005F04C1" w:rsidRPr="005F04C1" w14:paraId="5EB6A4C8" w14:textId="77777777" w:rsidTr="00DA1A00">
        <w:trPr>
          <w:trHeight w:val="522"/>
        </w:trPr>
        <w:tc>
          <w:tcPr>
            <w:tcW w:w="656" w:type="dxa"/>
            <w:vAlign w:val="center"/>
          </w:tcPr>
          <w:p w14:paraId="5C5EDA43" w14:textId="77777777" w:rsidR="007E7A7B" w:rsidRPr="005F04C1" w:rsidRDefault="00961B58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1.7.</w:t>
            </w:r>
          </w:p>
        </w:tc>
        <w:tc>
          <w:tcPr>
            <w:tcW w:w="6263" w:type="dxa"/>
            <w:vAlign w:val="center"/>
          </w:tcPr>
          <w:p w14:paraId="3DE82983" w14:textId="77777777" w:rsidR="007E7A7B" w:rsidRPr="005F04C1" w:rsidRDefault="00EA68E8" w:rsidP="00DA1A00">
            <w:pPr>
              <w:spacing w:after="0"/>
              <w:jc w:val="left"/>
              <w:rPr>
                <w:lang w:val="hr-HR"/>
              </w:rPr>
            </w:pPr>
            <w:r w:rsidRPr="005F04C1">
              <w:rPr>
                <w:lang w:val="hr-HR"/>
              </w:rPr>
              <w:t>+ ukalkulirani,</w:t>
            </w:r>
            <w:r w:rsidR="00F27BDA" w:rsidRPr="005F04C1">
              <w:rPr>
                <w:lang w:val="hr-HR"/>
              </w:rPr>
              <w:t xml:space="preserve"> </w:t>
            </w:r>
            <w:r w:rsidRPr="005F04C1">
              <w:rPr>
                <w:lang w:val="hr-HR"/>
              </w:rPr>
              <w:t xml:space="preserve">a neplaćeni računi (saldo </w:t>
            </w:r>
            <w:r w:rsidR="005335D5" w:rsidRPr="005F04C1">
              <w:rPr>
                <w:lang w:val="hr-HR"/>
              </w:rPr>
              <w:t>231,</w:t>
            </w:r>
            <w:r w:rsidRPr="005F04C1">
              <w:rPr>
                <w:lang w:val="hr-HR"/>
              </w:rPr>
              <w:t>2</w:t>
            </w:r>
            <w:r w:rsidR="007F5FCF" w:rsidRPr="005F04C1">
              <w:rPr>
                <w:lang w:val="hr-HR"/>
              </w:rPr>
              <w:t>32</w:t>
            </w:r>
            <w:r w:rsidRPr="005F04C1">
              <w:rPr>
                <w:lang w:val="hr-HR"/>
              </w:rPr>
              <w:t>,</w:t>
            </w:r>
            <w:r w:rsidR="00E41E6A" w:rsidRPr="005F04C1">
              <w:rPr>
                <w:lang w:val="hr-HR"/>
              </w:rPr>
              <w:t>234,</w:t>
            </w:r>
            <w:r w:rsidR="00C57BA4" w:rsidRPr="005F04C1">
              <w:rPr>
                <w:lang w:val="hr-HR"/>
              </w:rPr>
              <w:t>238,</w:t>
            </w:r>
            <w:r w:rsidR="0056036C" w:rsidRPr="005F04C1">
              <w:rPr>
                <w:lang w:val="hr-HR"/>
              </w:rPr>
              <w:t>24</w:t>
            </w:r>
            <w:r w:rsidR="005C1386" w:rsidRPr="005F04C1">
              <w:rPr>
                <w:lang w:val="hr-HR"/>
              </w:rPr>
              <w:t>,</w:t>
            </w:r>
            <w:r w:rsidR="00AC581C" w:rsidRPr="005F04C1">
              <w:rPr>
                <w:lang w:val="hr-HR"/>
              </w:rPr>
              <w:t>122,</w:t>
            </w:r>
            <w:r w:rsidR="005C1386" w:rsidRPr="005F04C1">
              <w:rPr>
                <w:lang w:val="hr-HR"/>
              </w:rPr>
              <w:t>124</w:t>
            </w:r>
            <w:r w:rsidR="0056036C" w:rsidRPr="005F04C1">
              <w:rPr>
                <w:lang w:val="hr-HR"/>
              </w:rPr>
              <w:t xml:space="preserve"> i </w:t>
            </w:r>
            <w:r w:rsidRPr="005F04C1">
              <w:rPr>
                <w:lang w:val="hr-HR"/>
              </w:rPr>
              <w:t>129</w:t>
            </w:r>
            <w:r w:rsidR="007E0F9D" w:rsidRPr="005F04C1">
              <w:rPr>
                <w:lang w:val="hr-HR"/>
              </w:rPr>
              <w:t>,19</w:t>
            </w:r>
            <w:r w:rsidRPr="005F04C1">
              <w:rPr>
                <w:lang w:val="hr-HR"/>
              </w:rPr>
              <w:t>)</w:t>
            </w:r>
          </w:p>
        </w:tc>
        <w:tc>
          <w:tcPr>
            <w:tcW w:w="1320" w:type="dxa"/>
            <w:vAlign w:val="center"/>
          </w:tcPr>
          <w:p w14:paraId="0E8D5305" w14:textId="77777777" w:rsidR="007E7A7B" w:rsidRPr="005F04C1" w:rsidRDefault="00350C9D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94.880,29</w:t>
            </w:r>
          </w:p>
        </w:tc>
      </w:tr>
      <w:tr w:rsidR="005F04C1" w:rsidRPr="005F04C1" w14:paraId="02523A97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1FDC6ED1" w14:textId="77777777" w:rsidR="00961B58" w:rsidRPr="005F04C1" w:rsidRDefault="00961B58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1.8.</w:t>
            </w:r>
          </w:p>
        </w:tc>
        <w:tc>
          <w:tcPr>
            <w:tcW w:w="6263" w:type="dxa"/>
            <w:vAlign w:val="center"/>
          </w:tcPr>
          <w:p w14:paraId="6693F974" w14:textId="77777777" w:rsidR="00961B58" w:rsidRPr="005F04C1" w:rsidRDefault="00EA68E8" w:rsidP="00DA1A00">
            <w:pPr>
              <w:spacing w:after="0"/>
              <w:jc w:val="left"/>
              <w:rPr>
                <w:lang w:val="hr-HR"/>
              </w:rPr>
            </w:pPr>
            <w:r w:rsidRPr="005F04C1">
              <w:rPr>
                <w:lang w:val="hr-HR"/>
              </w:rPr>
              <w:t xml:space="preserve">- </w:t>
            </w:r>
            <w:r w:rsidR="006D2EB1" w:rsidRPr="005F04C1">
              <w:rPr>
                <w:lang w:val="hr-HR"/>
              </w:rPr>
              <w:t xml:space="preserve">razlika </w:t>
            </w:r>
            <w:r w:rsidR="00BC2636" w:rsidRPr="005F04C1">
              <w:rPr>
                <w:lang w:val="hr-HR"/>
              </w:rPr>
              <w:t>potraživanja i obračunatih prihoda poslovanja</w:t>
            </w:r>
          </w:p>
        </w:tc>
        <w:tc>
          <w:tcPr>
            <w:tcW w:w="1320" w:type="dxa"/>
            <w:vAlign w:val="center"/>
          </w:tcPr>
          <w:p w14:paraId="55D5B374" w14:textId="77777777" w:rsidR="00961B58" w:rsidRPr="005F04C1" w:rsidRDefault="0083627C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8.183,45</w:t>
            </w:r>
          </w:p>
        </w:tc>
      </w:tr>
      <w:tr w:rsidR="005F04C1" w:rsidRPr="005F04C1" w14:paraId="20643996" w14:textId="77777777" w:rsidTr="00DA1A00">
        <w:trPr>
          <w:trHeight w:val="373"/>
        </w:trPr>
        <w:tc>
          <w:tcPr>
            <w:tcW w:w="656" w:type="dxa"/>
            <w:vAlign w:val="center"/>
          </w:tcPr>
          <w:p w14:paraId="279E7757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</w:t>
            </w:r>
            <w:r w:rsidR="00961B58" w:rsidRPr="005F04C1">
              <w:rPr>
                <w:sz w:val="22"/>
                <w:szCs w:val="22"/>
                <w:lang w:val="hr-HR"/>
              </w:rPr>
              <w:t>9</w:t>
            </w:r>
            <w:r w:rsidRPr="005F04C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vAlign w:val="center"/>
          </w:tcPr>
          <w:p w14:paraId="05551F33" w14:textId="77777777" w:rsidR="00426016" w:rsidRPr="005F04C1" w:rsidRDefault="009C210E" w:rsidP="00DA1A00">
            <w:pPr>
              <w:spacing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>- </w:t>
            </w:r>
            <w:r w:rsidR="006D2EB1" w:rsidRPr="005F04C1">
              <w:rPr>
                <w:lang w:val="hr-HR"/>
              </w:rPr>
              <w:t>knjige</w:t>
            </w:r>
            <w:r w:rsidR="002F75E5" w:rsidRPr="005F04C1">
              <w:rPr>
                <w:lang w:val="hr-HR"/>
              </w:rPr>
              <w:t xml:space="preserve"> i akontacije</w:t>
            </w:r>
          </w:p>
        </w:tc>
        <w:tc>
          <w:tcPr>
            <w:tcW w:w="1320" w:type="dxa"/>
            <w:vAlign w:val="center"/>
          </w:tcPr>
          <w:p w14:paraId="2D9AA2CC" w14:textId="77777777" w:rsidR="00426016" w:rsidRPr="005F04C1" w:rsidRDefault="0083627C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50</w:t>
            </w:r>
            <w:r w:rsidR="00517CE7" w:rsidRPr="005F04C1">
              <w:rPr>
                <w:sz w:val="22"/>
                <w:szCs w:val="22"/>
                <w:lang w:val="hr-HR"/>
              </w:rPr>
              <w:t>.</w:t>
            </w:r>
            <w:r w:rsidRPr="005F04C1">
              <w:rPr>
                <w:sz w:val="22"/>
                <w:szCs w:val="22"/>
                <w:lang w:val="hr-HR"/>
              </w:rPr>
              <w:t>765,53</w:t>
            </w:r>
          </w:p>
        </w:tc>
      </w:tr>
      <w:tr w:rsidR="005F04C1" w:rsidRPr="005F04C1" w14:paraId="248B5F34" w14:textId="77777777" w:rsidTr="00DA1A00">
        <w:trPr>
          <w:trHeight w:val="373"/>
        </w:trPr>
        <w:tc>
          <w:tcPr>
            <w:tcW w:w="656" w:type="dxa"/>
            <w:shd w:val="clear" w:color="auto" w:fill="D9D9D9"/>
            <w:vAlign w:val="center"/>
          </w:tcPr>
          <w:p w14:paraId="4002024A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1.</w:t>
            </w:r>
            <w:r w:rsidR="00961B58" w:rsidRPr="005F04C1">
              <w:rPr>
                <w:sz w:val="22"/>
                <w:szCs w:val="22"/>
                <w:lang w:val="hr-HR"/>
              </w:rPr>
              <w:t>10</w:t>
            </w:r>
            <w:r w:rsidRPr="005F04C1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shd w:val="clear" w:color="auto" w:fill="D9D9D9"/>
            <w:vAlign w:val="center"/>
          </w:tcPr>
          <w:p w14:paraId="281E9FB6" w14:textId="77777777" w:rsidR="00426016" w:rsidRPr="005F04C1" w:rsidRDefault="009C210E" w:rsidP="00DA1A00">
            <w:pPr>
              <w:spacing w:before="60" w:after="0"/>
              <w:jc w:val="left"/>
              <w:rPr>
                <w:sz w:val="22"/>
                <w:szCs w:val="22"/>
                <w:lang w:val="hr-HR"/>
              </w:rPr>
            </w:pPr>
            <w:r w:rsidRPr="005F04C1">
              <w:rPr>
                <w:lang w:val="hr-HR"/>
              </w:rPr>
              <w:t>-</w:t>
            </w:r>
            <w:r w:rsidR="006D2EB1" w:rsidRPr="005F04C1">
              <w:rPr>
                <w:lang w:val="hr-HR"/>
              </w:rPr>
              <w:t xml:space="preserve"> DEPOZITI </w:t>
            </w:r>
            <w:r w:rsidRPr="005F04C1">
              <w:rPr>
                <w:lang w:val="hr-HR"/>
              </w:rPr>
              <w:t>U BANKAMA (121)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39E1BFE4" w14:textId="77777777" w:rsidR="00426016" w:rsidRPr="005F04C1" w:rsidRDefault="009E1E09" w:rsidP="00B43CF7">
            <w:pPr>
              <w:spacing w:before="60" w:after="60" w:line="276" w:lineRule="auto"/>
              <w:jc w:val="right"/>
              <w:rPr>
                <w:sz w:val="22"/>
                <w:szCs w:val="22"/>
                <w:lang w:val="hr-HR"/>
              </w:rPr>
            </w:pPr>
            <w:r w:rsidRPr="005F04C1">
              <w:rPr>
                <w:sz w:val="22"/>
                <w:szCs w:val="22"/>
                <w:lang w:val="hr-HR"/>
              </w:rPr>
              <w:t>0,00</w:t>
            </w:r>
          </w:p>
        </w:tc>
      </w:tr>
      <w:tr w:rsidR="005F04C1" w:rsidRPr="005F04C1" w14:paraId="72BAADAE" w14:textId="77777777" w:rsidTr="00DA1A00">
        <w:trPr>
          <w:trHeight w:val="373"/>
        </w:trPr>
        <w:tc>
          <w:tcPr>
            <w:tcW w:w="656" w:type="dxa"/>
            <w:shd w:val="clear" w:color="auto" w:fill="D9D9D9"/>
            <w:vAlign w:val="center"/>
          </w:tcPr>
          <w:p w14:paraId="11D00B69" w14:textId="77777777" w:rsidR="00426016" w:rsidRPr="005F04C1" w:rsidRDefault="00426016" w:rsidP="00DA1A00">
            <w:pPr>
              <w:spacing w:before="60" w:after="60" w:line="276" w:lineRule="auto"/>
              <w:jc w:val="left"/>
              <w:rPr>
                <w:b/>
                <w:bCs/>
                <w:sz w:val="22"/>
                <w:szCs w:val="22"/>
                <w:lang w:val="hr-HR"/>
              </w:rPr>
            </w:pPr>
            <w:r w:rsidRPr="005F04C1">
              <w:rPr>
                <w:b/>
                <w:bCs/>
                <w:sz w:val="22"/>
                <w:szCs w:val="22"/>
                <w:lang w:val="hr-HR"/>
              </w:rPr>
              <w:t>1.</w:t>
            </w:r>
            <w:r w:rsidR="00961B58" w:rsidRPr="005F04C1">
              <w:rPr>
                <w:b/>
                <w:bCs/>
                <w:sz w:val="22"/>
                <w:szCs w:val="22"/>
                <w:lang w:val="hr-HR"/>
              </w:rPr>
              <w:t>11</w:t>
            </w:r>
            <w:r w:rsidRPr="005F04C1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6263" w:type="dxa"/>
            <w:shd w:val="clear" w:color="auto" w:fill="D9D9D9"/>
            <w:vAlign w:val="center"/>
          </w:tcPr>
          <w:p w14:paraId="7552737D" w14:textId="77777777" w:rsidR="00426016" w:rsidRPr="005F04C1" w:rsidRDefault="009C210E" w:rsidP="00DA1A00">
            <w:pPr>
              <w:spacing w:before="60" w:after="0"/>
              <w:jc w:val="left"/>
              <w:rPr>
                <w:b/>
                <w:bCs/>
                <w:sz w:val="22"/>
                <w:szCs w:val="22"/>
                <w:lang w:val="hr-HR"/>
              </w:rPr>
            </w:pPr>
            <w:r w:rsidRPr="005F04C1">
              <w:rPr>
                <w:b/>
                <w:bCs/>
                <w:lang w:val="hr-HR"/>
              </w:rPr>
              <w:t>= STANJE NOVČANIH SREDSTAVA  </w:t>
            </w:r>
            <w:r w:rsidR="004F3F83" w:rsidRPr="005F04C1">
              <w:rPr>
                <w:b/>
                <w:bCs/>
                <w:lang w:val="hr-HR"/>
              </w:rPr>
              <w:t>na dan 31.12.20</w:t>
            </w:r>
            <w:r w:rsidR="008142C3" w:rsidRPr="005F04C1">
              <w:rPr>
                <w:b/>
                <w:bCs/>
                <w:lang w:val="hr-HR"/>
              </w:rPr>
              <w:t>2</w:t>
            </w:r>
            <w:r w:rsidR="009E1E09" w:rsidRPr="005F04C1">
              <w:rPr>
                <w:b/>
                <w:bCs/>
                <w:lang w:val="hr-HR"/>
              </w:rPr>
              <w:t>3</w:t>
            </w:r>
            <w:r w:rsidR="004F3F83" w:rsidRPr="005F04C1">
              <w:rPr>
                <w:b/>
                <w:bCs/>
                <w:lang w:val="hr-HR"/>
              </w:rPr>
              <w:t>.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77257306" w14:textId="77777777" w:rsidR="00426016" w:rsidRPr="005F04C1" w:rsidRDefault="00510E99" w:rsidP="00B43CF7">
            <w:pPr>
              <w:spacing w:before="60" w:after="60" w:line="276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5F04C1">
              <w:rPr>
                <w:b/>
                <w:bCs/>
                <w:sz w:val="22"/>
                <w:szCs w:val="22"/>
                <w:lang w:val="hr-HR"/>
              </w:rPr>
              <w:t>2.985.040,36</w:t>
            </w:r>
          </w:p>
        </w:tc>
      </w:tr>
    </w:tbl>
    <w:p w14:paraId="7EA5D9D4" w14:textId="77777777" w:rsidR="00B27BF6" w:rsidRPr="005F04C1" w:rsidRDefault="00B27BF6" w:rsidP="0043176A">
      <w:pPr>
        <w:pStyle w:val="BodyText"/>
        <w:spacing w:line="276" w:lineRule="auto"/>
        <w:ind w:left="0" w:firstLine="0"/>
        <w:rPr>
          <w:b w:val="0"/>
          <w:sz w:val="22"/>
          <w:szCs w:val="22"/>
          <w:lang w:val="hr-HR"/>
        </w:rPr>
      </w:pPr>
    </w:p>
    <w:p w14:paraId="3BA29054" w14:textId="77777777" w:rsidR="009B1ECD" w:rsidRPr="005B34A4" w:rsidRDefault="005D3EC5" w:rsidP="003D1686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rPr>
          <w:sz w:val="24"/>
          <w:szCs w:val="24"/>
          <w:lang w:val="hr-HR"/>
        </w:rPr>
      </w:pPr>
      <w:r w:rsidRPr="005B34A4">
        <w:rPr>
          <w:sz w:val="22"/>
          <w:szCs w:val="22"/>
          <w:shd w:val="clear" w:color="auto" w:fill="FFFFFF"/>
          <w:lang w:val="hr-HR"/>
        </w:rPr>
        <w:lastRenderedPageBreak/>
        <w:t xml:space="preserve">Nefinancijska  imovina </w:t>
      </w:r>
      <w:r w:rsidR="00D93A80" w:rsidRPr="005B34A4">
        <w:rPr>
          <w:sz w:val="22"/>
          <w:szCs w:val="22"/>
          <w:lang w:val="hr-HR"/>
        </w:rPr>
        <w:t>Obrazac: BILANCA</w:t>
      </w:r>
      <w:r w:rsidR="00D93A80" w:rsidRPr="005B34A4">
        <w:rPr>
          <w:lang w:val="hr-HR"/>
        </w:rPr>
        <w:t xml:space="preserve"> </w:t>
      </w:r>
      <w:r w:rsidRPr="005B34A4">
        <w:rPr>
          <w:sz w:val="22"/>
          <w:szCs w:val="22"/>
          <w:shd w:val="clear" w:color="auto" w:fill="FFFFFF"/>
          <w:lang w:val="hr-HR"/>
        </w:rPr>
        <w:t>Izvršen je ispravak vrijednosti nefinancijske imovine prema zakonskim stopama amortizacije i to na teret izvora vlasništva u korist ispravka vrijednosti dugotrajne imovine 911</w:t>
      </w:r>
      <w:r w:rsidR="00EA732C" w:rsidRPr="005B34A4">
        <w:rPr>
          <w:sz w:val="22"/>
          <w:szCs w:val="22"/>
          <w:shd w:val="clear" w:color="auto" w:fill="FFFFFF"/>
          <w:lang w:val="hr-HR"/>
        </w:rPr>
        <w:t>21</w:t>
      </w:r>
      <w:r w:rsidRPr="005B34A4">
        <w:rPr>
          <w:sz w:val="22"/>
          <w:szCs w:val="22"/>
          <w:shd w:val="clear" w:color="auto" w:fill="FFFFFF"/>
          <w:lang w:val="hr-HR"/>
        </w:rPr>
        <w:t>/029.... Obračun ispravka vrijednosti nefinancijske imovine za 20</w:t>
      </w:r>
      <w:r w:rsidR="00EC542D" w:rsidRPr="005B34A4">
        <w:rPr>
          <w:sz w:val="22"/>
          <w:szCs w:val="22"/>
          <w:shd w:val="clear" w:color="auto" w:fill="FFFFFF"/>
          <w:lang w:val="hr-HR"/>
        </w:rPr>
        <w:t>2</w:t>
      </w:r>
      <w:r w:rsidR="003E65C5" w:rsidRPr="005B34A4">
        <w:rPr>
          <w:sz w:val="22"/>
          <w:szCs w:val="22"/>
          <w:shd w:val="clear" w:color="auto" w:fill="FFFFFF"/>
          <w:lang w:val="hr-HR"/>
        </w:rPr>
        <w:t>3</w:t>
      </w:r>
      <w:r w:rsidRPr="005B34A4">
        <w:rPr>
          <w:sz w:val="22"/>
          <w:szCs w:val="22"/>
          <w:shd w:val="clear" w:color="auto" w:fill="FFFFFF"/>
          <w:lang w:val="hr-HR"/>
        </w:rPr>
        <w:t xml:space="preserve">. iznosi  </w:t>
      </w:r>
      <w:r w:rsidR="00EA732C" w:rsidRPr="005B34A4">
        <w:rPr>
          <w:sz w:val="22"/>
          <w:szCs w:val="22"/>
          <w:shd w:val="clear" w:color="auto" w:fill="FFFFFF"/>
          <w:lang w:val="hr-HR"/>
        </w:rPr>
        <w:t>749.632,56 eura</w:t>
      </w:r>
      <w:r w:rsidRPr="005B34A4">
        <w:rPr>
          <w:sz w:val="22"/>
          <w:szCs w:val="22"/>
          <w:shd w:val="clear" w:color="auto" w:fill="FFFFFF"/>
          <w:lang w:val="hr-HR"/>
        </w:rPr>
        <w:t xml:space="preserve">. Po obavljenoj inventuri </w:t>
      </w:r>
      <w:r w:rsidR="00592232" w:rsidRPr="005B34A4">
        <w:rPr>
          <w:sz w:val="22"/>
          <w:szCs w:val="22"/>
          <w:shd w:val="clear" w:color="auto" w:fill="FFFFFF"/>
          <w:lang w:val="hr-HR"/>
        </w:rPr>
        <w:t>u siječnju 20</w:t>
      </w:r>
      <w:r w:rsidR="005737EA" w:rsidRPr="005B34A4">
        <w:rPr>
          <w:sz w:val="22"/>
          <w:szCs w:val="22"/>
          <w:shd w:val="clear" w:color="auto" w:fill="FFFFFF"/>
          <w:lang w:val="hr-HR"/>
        </w:rPr>
        <w:t>2</w:t>
      </w:r>
      <w:r w:rsidR="003E65C5" w:rsidRPr="005B34A4">
        <w:rPr>
          <w:sz w:val="22"/>
          <w:szCs w:val="22"/>
          <w:shd w:val="clear" w:color="auto" w:fill="FFFFFF"/>
          <w:lang w:val="hr-HR"/>
        </w:rPr>
        <w:t>4</w:t>
      </w:r>
      <w:r w:rsidR="00592232" w:rsidRPr="005B34A4">
        <w:rPr>
          <w:sz w:val="22"/>
          <w:szCs w:val="22"/>
          <w:shd w:val="clear" w:color="auto" w:fill="FFFFFF"/>
          <w:lang w:val="hr-HR"/>
        </w:rPr>
        <w:t xml:space="preserve">. biti će isknjižena </w:t>
      </w:r>
      <w:r w:rsidRPr="005B34A4">
        <w:rPr>
          <w:sz w:val="22"/>
          <w:szCs w:val="22"/>
          <w:shd w:val="clear" w:color="auto" w:fill="FFFFFF"/>
          <w:lang w:val="hr-HR"/>
        </w:rPr>
        <w:t>dugotrajna nefinancijska imovina i to nabavn</w:t>
      </w:r>
      <w:r w:rsidR="00592232" w:rsidRPr="005B34A4">
        <w:rPr>
          <w:sz w:val="22"/>
          <w:szCs w:val="22"/>
          <w:shd w:val="clear" w:color="auto" w:fill="FFFFFF"/>
          <w:lang w:val="hr-HR"/>
        </w:rPr>
        <w:t>e</w:t>
      </w:r>
      <w:r w:rsidRPr="005B34A4">
        <w:rPr>
          <w:sz w:val="22"/>
          <w:szCs w:val="22"/>
          <w:shd w:val="clear" w:color="auto" w:fill="FFFFFF"/>
          <w:lang w:val="hr-HR"/>
        </w:rPr>
        <w:t xml:space="preserve"> vrijednost</w:t>
      </w:r>
      <w:r w:rsidR="00592232" w:rsidRPr="005B34A4">
        <w:rPr>
          <w:sz w:val="22"/>
          <w:szCs w:val="22"/>
          <w:shd w:val="clear" w:color="auto" w:fill="FFFFFF"/>
          <w:lang w:val="hr-HR"/>
        </w:rPr>
        <w:t>i</w:t>
      </w:r>
      <w:r w:rsidRPr="005B34A4">
        <w:rPr>
          <w:sz w:val="22"/>
          <w:szCs w:val="22"/>
          <w:shd w:val="clear" w:color="auto" w:fill="FFFFFF"/>
          <w:lang w:val="hr-HR"/>
        </w:rPr>
        <w:t xml:space="preserve"> u iznosu od </w:t>
      </w:r>
      <w:r w:rsidR="00EA732C" w:rsidRPr="005B34A4">
        <w:rPr>
          <w:sz w:val="22"/>
          <w:szCs w:val="22"/>
          <w:shd w:val="clear" w:color="auto" w:fill="FFFFFF"/>
          <w:lang w:val="hr-HR"/>
        </w:rPr>
        <w:t>175.214,</w:t>
      </w:r>
      <w:r w:rsidR="00C7779F" w:rsidRPr="005B34A4">
        <w:rPr>
          <w:sz w:val="22"/>
          <w:szCs w:val="22"/>
          <w:shd w:val="clear" w:color="auto" w:fill="FFFFFF"/>
          <w:lang w:val="hr-HR"/>
        </w:rPr>
        <w:t>18</w:t>
      </w:r>
      <w:r w:rsidR="00EA732C" w:rsidRPr="005B34A4">
        <w:rPr>
          <w:sz w:val="22"/>
          <w:szCs w:val="22"/>
          <w:shd w:val="clear" w:color="auto" w:fill="FFFFFF"/>
          <w:lang w:val="hr-HR"/>
        </w:rPr>
        <w:t xml:space="preserve"> eura</w:t>
      </w:r>
      <w:r w:rsidRPr="005B34A4">
        <w:rPr>
          <w:sz w:val="22"/>
          <w:szCs w:val="22"/>
          <w:shd w:val="clear" w:color="auto" w:fill="FFFFFF"/>
          <w:lang w:val="hr-HR"/>
        </w:rPr>
        <w:t xml:space="preserve">, </w:t>
      </w:r>
      <w:r w:rsidR="00592232" w:rsidRPr="005B34A4">
        <w:rPr>
          <w:sz w:val="22"/>
          <w:szCs w:val="22"/>
          <w:shd w:val="clear" w:color="auto" w:fill="FFFFFF"/>
          <w:lang w:val="hr-HR"/>
        </w:rPr>
        <w:t xml:space="preserve">te </w:t>
      </w:r>
      <w:r w:rsidRPr="005B34A4">
        <w:rPr>
          <w:sz w:val="22"/>
          <w:szCs w:val="22"/>
          <w:shd w:val="clear" w:color="auto" w:fill="FFFFFF"/>
          <w:lang w:val="hr-HR"/>
        </w:rPr>
        <w:t>isprav</w:t>
      </w:r>
      <w:r w:rsidR="0060457F" w:rsidRPr="005B34A4">
        <w:rPr>
          <w:sz w:val="22"/>
          <w:szCs w:val="22"/>
          <w:shd w:val="clear" w:color="auto" w:fill="FFFFFF"/>
          <w:lang w:val="hr-HR"/>
        </w:rPr>
        <w:t>ljene</w:t>
      </w:r>
      <w:r w:rsidRPr="005B34A4">
        <w:rPr>
          <w:sz w:val="22"/>
          <w:szCs w:val="22"/>
          <w:shd w:val="clear" w:color="auto" w:fill="FFFFFF"/>
          <w:lang w:val="hr-HR"/>
        </w:rPr>
        <w:t xml:space="preserve"> vrijednosti u iznosu od </w:t>
      </w:r>
      <w:r w:rsidR="00EA732C" w:rsidRPr="005B34A4">
        <w:rPr>
          <w:sz w:val="22"/>
          <w:szCs w:val="22"/>
          <w:shd w:val="clear" w:color="auto" w:fill="FFFFFF"/>
          <w:lang w:val="hr-HR"/>
        </w:rPr>
        <w:t>175.214,</w:t>
      </w:r>
      <w:r w:rsidR="00C7779F" w:rsidRPr="005B34A4">
        <w:rPr>
          <w:sz w:val="22"/>
          <w:szCs w:val="22"/>
          <w:shd w:val="clear" w:color="auto" w:fill="FFFFFF"/>
          <w:lang w:val="hr-HR"/>
        </w:rPr>
        <w:t>18</w:t>
      </w:r>
      <w:r w:rsidR="00C00EC8" w:rsidRPr="005B34A4">
        <w:rPr>
          <w:sz w:val="22"/>
          <w:szCs w:val="22"/>
          <w:shd w:val="clear" w:color="auto" w:fill="FFFFFF"/>
          <w:lang w:val="hr-HR"/>
        </w:rPr>
        <w:t xml:space="preserve"> </w:t>
      </w:r>
      <w:r w:rsidR="00EA732C" w:rsidRPr="005B34A4">
        <w:rPr>
          <w:sz w:val="22"/>
          <w:szCs w:val="22"/>
          <w:shd w:val="clear" w:color="auto" w:fill="FFFFFF"/>
          <w:lang w:val="hr-HR"/>
        </w:rPr>
        <w:t>eura</w:t>
      </w:r>
      <w:r w:rsidRPr="005B34A4">
        <w:rPr>
          <w:sz w:val="22"/>
          <w:szCs w:val="22"/>
          <w:shd w:val="clear" w:color="auto" w:fill="FFFFFF"/>
          <w:lang w:val="hr-HR"/>
        </w:rPr>
        <w:t>. Sadašnja vrijednost imovine</w:t>
      </w:r>
      <w:r w:rsidR="005737EA" w:rsidRPr="005B34A4">
        <w:rPr>
          <w:sz w:val="22"/>
          <w:szCs w:val="22"/>
          <w:shd w:val="clear" w:color="auto" w:fill="FFFFFF"/>
          <w:lang w:val="hr-HR"/>
        </w:rPr>
        <w:t xml:space="preserve"> </w:t>
      </w:r>
      <w:r w:rsidR="009B1ECD" w:rsidRPr="005B34A4">
        <w:rPr>
          <w:sz w:val="22"/>
          <w:szCs w:val="22"/>
          <w:shd w:val="clear" w:color="auto" w:fill="FFFFFF"/>
          <w:lang w:val="hr-HR"/>
        </w:rPr>
        <w:t xml:space="preserve">uključivo </w:t>
      </w:r>
      <w:r w:rsidR="005737EA" w:rsidRPr="005B34A4">
        <w:rPr>
          <w:sz w:val="22"/>
          <w:szCs w:val="22"/>
          <w:shd w:val="clear" w:color="auto" w:fill="FFFFFF"/>
          <w:lang w:val="hr-HR"/>
        </w:rPr>
        <w:t xml:space="preserve">sa </w:t>
      </w:r>
      <w:r w:rsidR="009B1ECD" w:rsidRPr="005B34A4">
        <w:rPr>
          <w:sz w:val="22"/>
          <w:szCs w:val="22"/>
          <w:shd w:val="clear" w:color="auto" w:fill="FFFFFF"/>
          <w:lang w:val="hr-HR"/>
        </w:rPr>
        <w:t>knjiga</w:t>
      </w:r>
      <w:r w:rsidR="005737EA" w:rsidRPr="005B34A4">
        <w:rPr>
          <w:sz w:val="22"/>
          <w:szCs w:val="22"/>
          <w:shd w:val="clear" w:color="auto" w:fill="FFFFFF"/>
          <w:lang w:val="hr-HR"/>
        </w:rPr>
        <w:t>ma</w:t>
      </w:r>
      <w:r w:rsidR="009B1ECD" w:rsidRPr="005B34A4">
        <w:rPr>
          <w:sz w:val="22"/>
          <w:szCs w:val="22"/>
          <w:shd w:val="clear" w:color="auto" w:fill="FFFFFF"/>
          <w:lang w:val="hr-HR"/>
        </w:rPr>
        <w:t xml:space="preserve"> u knjižnici i gotovi</w:t>
      </w:r>
      <w:r w:rsidR="005737EA" w:rsidRPr="005B34A4">
        <w:rPr>
          <w:sz w:val="22"/>
          <w:szCs w:val="22"/>
          <w:shd w:val="clear" w:color="auto" w:fill="FFFFFF"/>
          <w:lang w:val="hr-HR"/>
        </w:rPr>
        <w:t>m</w:t>
      </w:r>
      <w:r w:rsidR="009B1ECD" w:rsidRPr="005B34A4">
        <w:rPr>
          <w:sz w:val="22"/>
          <w:szCs w:val="22"/>
          <w:shd w:val="clear" w:color="auto" w:fill="FFFFFF"/>
          <w:lang w:val="hr-HR"/>
        </w:rPr>
        <w:t xml:space="preserve"> proizvod</w:t>
      </w:r>
      <w:r w:rsidR="005737EA" w:rsidRPr="005B34A4">
        <w:rPr>
          <w:sz w:val="22"/>
          <w:szCs w:val="22"/>
          <w:shd w:val="clear" w:color="auto" w:fill="FFFFFF"/>
          <w:lang w:val="hr-HR"/>
        </w:rPr>
        <w:t xml:space="preserve">ima </w:t>
      </w:r>
      <w:r w:rsidR="009B1ECD" w:rsidRPr="005B34A4">
        <w:rPr>
          <w:sz w:val="22"/>
          <w:szCs w:val="22"/>
          <w:shd w:val="clear" w:color="auto" w:fill="FFFFFF"/>
          <w:lang w:val="hr-HR"/>
        </w:rPr>
        <w:t xml:space="preserve"> po osnovi izdavačke djelatnosti iznosi</w:t>
      </w:r>
      <w:r w:rsidR="006625A0" w:rsidRPr="005B34A4">
        <w:rPr>
          <w:sz w:val="22"/>
          <w:szCs w:val="22"/>
          <w:shd w:val="clear" w:color="auto" w:fill="FFFFFF"/>
          <w:lang w:val="hr-HR"/>
        </w:rPr>
        <w:t xml:space="preserve"> </w:t>
      </w:r>
      <w:r w:rsidR="00EA732C" w:rsidRPr="005B34A4">
        <w:rPr>
          <w:sz w:val="22"/>
          <w:szCs w:val="22"/>
          <w:shd w:val="clear" w:color="auto" w:fill="FFFFFF"/>
          <w:lang w:val="hr-HR"/>
        </w:rPr>
        <w:t>3.583.305,79 eura</w:t>
      </w:r>
      <w:r w:rsidRPr="005B34A4">
        <w:rPr>
          <w:sz w:val="22"/>
          <w:szCs w:val="22"/>
          <w:shd w:val="clear" w:color="auto" w:fill="FFFFFF"/>
          <w:lang w:val="hr-HR"/>
        </w:rPr>
        <w:t xml:space="preserve">. </w:t>
      </w:r>
    </w:p>
    <w:p w14:paraId="6687B929" w14:textId="77777777" w:rsidR="00AF13F8" w:rsidRPr="005B34A4" w:rsidRDefault="00AF13F8" w:rsidP="003D1686">
      <w:pPr>
        <w:pStyle w:val="ListParagraph"/>
        <w:shd w:val="clear" w:color="auto" w:fill="FFFFFF"/>
        <w:spacing w:line="360" w:lineRule="auto"/>
        <w:ind w:left="357" w:firstLine="0"/>
        <w:rPr>
          <w:sz w:val="24"/>
          <w:szCs w:val="24"/>
          <w:lang w:val="hr-HR"/>
        </w:rPr>
      </w:pPr>
    </w:p>
    <w:p w14:paraId="7FD74124" w14:textId="77777777" w:rsidR="005D3EC5" w:rsidRPr="005B34A4" w:rsidRDefault="005D3EC5" w:rsidP="00EA732C">
      <w:pPr>
        <w:pStyle w:val="ListParagraph"/>
        <w:shd w:val="clear" w:color="auto" w:fill="FFFFFF"/>
        <w:spacing w:after="0" w:line="360" w:lineRule="auto"/>
        <w:ind w:left="357" w:firstLine="0"/>
        <w:rPr>
          <w:sz w:val="24"/>
          <w:szCs w:val="24"/>
          <w:lang w:val="hr-HR"/>
        </w:rPr>
      </w:pPr>
      <w:r w:rsidRPr="005B34A4">
        <w:rPr>
          <w:sz w:val="22"/>
          <w:szCs w:val="22"/>
          <w:shd w:val="clear" w:color="auto" w:fill="FFFFFF"/>
          <w:lang w:val="hr-HR"/>
        </w:rPr>
        <w:t>Utvrđeni manjkovi, oštećena, pokvarena ili na drugi način neupotrebljiva</w:t>
      </w:r>
      <w:r w:rsidR="00DA1A00" w:rsidRPr="005B34A4">
        <w:rPr>
          <w:sz w:val="22"/>
          <w:szCs w:val="22"/>
          <w:shd w:val="clear" w:color="auto" w:fill="FFFFFF"/>
          <w:lang w:val="hr-HR"/>
        </w:rPr>
        <w:t xml:space="preserve"> </w:t>
      </w:r>
      <w:r w:rsidRPr="005B34A4">
        <w:rPr>
          <w:sz w:val="22"/>
          <w:szCs w:val="22"/>
          <w:shd w:val="clear" w:color="auto" w:fill="FFFFFF"/>
          <w:lang w:val="hr-HR"/>
        </w:rPr>
        <w:t xml:space="preserve"> imovina je nastala zbog tehnološke zastarjelosti računalne opreme, kvara i sl., kao i oštećenja namještaja.</w:t>
      </w:r>
    </w:p>
    <w:p w14:paraId="7FEB0DD1" w14:textId="77777777" w:rsidR="009B1ECD" w:rsidRPr="005B34A4" w:rsidRDefault="005D3EC5" w:rsidP="00EA732C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  <w:r w:rsidRPr="005B34A4">
        <w:rPr>
          <w:sz w:val="22"/>
          <w:szCs w:val="22"/>
          <w:shd w:val="clear" w:color="auto" w:fill="FFFFFF"/>
          <w:lang w:val="hr-HR"/>
        </w:rPr>
        <w:t xml:space="preserve">Računalna oprema, tehnološki zastarjela i dijelom neispravna se isključuje iz uporabe i biti će predana ovlaštenoj pravnoj osobi za zbrinjavanje otpada, o čemu će se pribaviti odgovarajuća potvrda koja služi za </w:t>
      </w:r>
      <w:proofErr w:type="spellStart"/>
      <w:r w:rsidRPr="005B34A4">
        <w:rPr>
          <w:sz w:val="22"/>
          <w:szCs w:val="22"/>
          <w:shd w:val="clear" w:color="auto" w:fill="FFFFFF"/>
          <w:lang w:val="hr-HR"/>
        </w:rPr>
        <w:t>isknjiženje</w:t>
      </w:r>
      <w:proofErr w:type="spellEnd"/>
      <w:r w:rsidRPr="005B34A4">
        <w:rPr>
          <w:sz w:val="22"/>
          <w:szCs w:val="22"/>
          <w:shd w:val="clear" w:color="auto" w:fill="FFFFFF"/>
          <w:lang w:val="hr-HR"/>
        </w:rPr>
        <w:t xml:space="preserve"> imovine iz poslovnih knjiga. Namještaj je zbog oštećenja stavljen van upotrebe. Predložena dugotrajna imovina knjigovodstveno je otpisana prema zakonskim stopama amortizacije.</w:t>
      </w:r>
    </w:p>
    <w:p w14:paraId="777E01FC" w14:textId="77777777" w:rsidR="00A97912" w:rsidRPr="005B34A4" w:rsidRDefault="00A97912" w:rsidP="003D1686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</w:p>
    <w:p w14:paraId="381F1283" w14:textId="77777777" w:rsidR="007338C8" w:rsidRPr="005B34A4" w:rsidRDefault="009B1ECD" w:rsidP="003D1686">
      <w:pPr>
        <w:pStyle w:val="ListParagraph"/>
        <w:shd w:val="clear" w:color="auto" w:fill="FFFFFF"/>
        <w:spacing w:after="0" w:line="360" w:lineRule="auto"/>
        <w:ind w:left="357" w:firstLine="0"/>
        <w:rPr>
          <w:sz w:val="22"/>
          <w:szCs w:val="22"/>
          <w:shd w:val="clear" w:color="auto" w:fill="FFFFFF"/>
          <w:lang w:val="hr-HR"/>
        </w:rPr>
      </w:pPr>
      <w:r w:rsidRPr="005B34A4">
        <w:rPr>
          <w:sz w:val="22"/>
          <w:szCs w:val="22"/>
          <w:shd w:val="clear" w:color="auto" w:fill="FFFFFF"/>
          <w:lang w:val="hr-HR"/>
        </w:rPr>
        <w:t xml:space="preserve">Sitni inventar je već u cijelosti otpisan, a prema inventurnom popisu onaj koji je oštećen i neispravan u iznosu od </w:t>
      </w:r>
      <w:r w:rsidR="00EA732C" w:rsidRPr="005B34A4">
        <w:rPr>
          <w:sz w:val="22"/>
          <w:szCs w:val="22"/>
          <w:shd w:val="clear" w:color="auto" w:fill="FFFFFF"/>
          <w:lang w:val="hr-HR"/>
        </w:rPr>
        <w:t>21.636,36 eura</w:t>
      </w:r>
      <w:r w:rsidRPr="005B34A4">
        <w:rPr>
          <w:sz w:val="22"/>
          <w:szCs w:val="22"/>
          <w:shd w:val="clear" w:color="auto" w:fill="FFFFFF"/>
          <w:lang w:val="hr-HR"/>
        </w:rPr>
        <w:t xml:space="preserve"> potpuno će se </w:t>
      </w:r>
      <w:proofErr w:type="spellStart"/>
      <w:r w:rsidRPr="005B34A4">
        <w:rPr>
          <w:sz w:val="22"/>
          <w:szCs w:val="22"/>
          <w:shd w:val="clear" w:color="auto" w:fill="FFFFFF"/>
          <w:lang w:val="hr-HR"/>
        </w:rPr>
        <w:t>isknjižiti</w:t>
      </w:r>
      <w:proofErr w:type="spellEnd"/>
      <w:r w:rsidRPr="005B34A4">
        <w:rPr>
          <w:sz w:val="22"/>
          <w:szCs w:val="22"/>
          <w:shd w:val="clear" w:color="auto" w:fill="FFFFFF"/>
          <w:lang w:val="hr-HR"/>
        </w:rPr>
        <w:t xml:space="preserve"> iz poslovnih knjiga</w:t>
      </w:r>
      <w:r w:rsidR="00BD6E73" w:rsidRPr="005B34A4">
        <w:rPr>
          <w:sz w:val="22"/>
          <w:szCs w:val="22"/>
          <w:shd w:val="clear" w:color="auto" w:fill="FFFFFF"/>
          <w:lang w:val="hr-HR"/>
        </w:rPr>
        <w:t>.</w:t>
      </w:r>
    </w:p>
    <w:p w14:paraId="1B161012" w14:textId="77777777" w:rsidR="00565F86" w:rsidRPr="005B34A4" w:rsidRDefault="00565F86" w:rsidP="003D1686">
      <w:pPr>
        <w:pStyle w:val="ListParagraph"/>
        <w:shd w:val="clear" w:color="auto" w:fill="FFFFFF"/>
        <w:spacing w:after="0" w:line="360" w:lineRule="auto"/>
        <w:ind w:left="360" w:firstLine="0"/>
        <w:jc w:val="left"/>
        <w:rPr>
          <w:sz w:val="22"/>
          <w:szCs w:val="22"/>
          <w:shd w:val="clear" w:color="auto" w:fill="FFFFFF"/>
          <w:lang w:val="hr-HR"/>
        </w:rPr>
        <w:sectPr w:rsidR="00565F86" w:rsidRPr="005B34A4" w:rsidSect="001A70F6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142" w:footer="210" w:gutter="0"/>
          <w:cols w:space="720"/>
          <w:docGrid w:linePitch="360"/>
        </w:sectPr>
      </w:pPr>
    </w:p>
    <w:p w14:paraId="38734C45" w14:textId="77777777" w:rsidR="00685A3E" w:rsidRPr="00C3338B" w:rsidRDefault="00565F86" w:rsidP="00461DDB">
      <w:pPr>
        <w:numPr>
          <w:ilvl w:val="0"/>
          <w:numId w:val="27"/>
        </w:numPr>
        <w:spacing w:after="0" w:line="276" w:lineRule="auto"/>
        <w:ind w:firstLine="774"/>
        <w:jc w:val="left"/>
        <w:rPr>
          <w:sz w:val="28"/>
          <w:szCs w:val="22"/>
          <w:shd w:val="clear" w:color="auto" w:fill="FFFFFF"/>
          <w:lang w:val="hr-HR"/>
        </w:rPr>
      </w:pPr>
      <w:r w:rsidRPr="00C3338B">
        <w:rPr>
          <w:sz w:val="28"/>
          <w:szCs w:val="22"/>
          <w:shd w:val="clear" w:color="auto" w:fill="FFFFFF"/>
          <w:lang w:val="hr-HR"/>
        </w:rPr>
        <w:lastRenderedPageBreak/>
        <w:t>Prikaz dugotrajne nefinancijske imovine</w:t>
      </w:r>
    </w:p>
    <w:p w14:paraId="3A41C2B7" w14:textId="77777777" w:rsidR="00565F86" w:rsidRPr="00C3338B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601"/>
        <w:gridCol w:w="1501"/>
        <w:gridCol w:w="1902"/>
        <w:gridCol w:w="1771"/>
        <w:gridCol w:w="1714"/>
      </w:tblGrid>
      <w:tr w:rsidR="00E41334" w:rsidRPr="00C3338B" w14:paraId="2B4376A3" w14:textId="77777777" w:rsidTr="00E71818">
        <w:trPr>
          <w:trHeight w:val="567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D7C38C" w14:textId="77777777" w:rsidR="00565F86" w:rsidRPr="00C3338B" w:rsidRDefault="00565F86" w:rsidP="00461DDB">
            <w:pPr>
              <w:spacing w:line="276" w:lineRule="auto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Nomenklatura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7575E6" w14:textId="77777777" w:rsidR="00565F86" w:rsidRPr="00C3338B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Nabavna knjigovodstvena vrijednost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38E08E" w14:textId="77777777" w:rsidR="00565F86" w:rsidRPr="00C3338B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Prijedlog za rashod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0B85EB" w14:textId="77777777" w:rsidR="00565F86" w:rsidRPr="00C3338B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Stanje po inventuri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D7C82" w14:textId="77777777" w:rsidR="00565F86" w:rsidRPr="00C3338B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Ispravak vrijednosti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3E760C" w14:textId="77777777" w:rsidR="00565F86" w:rsidRPr="00C3338B" w:rsidRDefault="00565F86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Sadašnja vrijednost</w:t>
            </w:r>
          </w:p>
        </w:tc>
      </w:tr>
      <w:tr w:rsidR="00E41334" w:rsidRPr="00C3338B" w14:paraId="4B3D534A" w14:textId="77777777" w:rsidTr="0064326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219B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Zemljište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21B5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2.802,91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AF3E5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B7B8C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2.802,91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F7E4E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D450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2.802,91</w:t>
            </w:r>
          </w:p>
        </w:tc>
      </w:tr>
      <w:tr w:rsidR="00E41334" w:rsidRPr="00C3338B" w14:paraId="5689D2BD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1780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Licence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F4644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40.688,40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78474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1499C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40.688,40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195B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40.678,96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8DE6E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9,44</w:t>
            </w:r>
          </w:p>
        </w:tc>
      </w:tr>
      <w:tr w:rsidR="00E41334" w:rsidRPr="00C3338B" w14:paraId="0F24154C" w14:textId="77777777" w:rsidTr="00E71818">
        <w:trPr>
          <w:trHeight w:val="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8005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Osnivačka ulaganja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9EDBF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29F7D" w14:textId="77777777" w:rsidR="000A1016" w:rsidRPr="00C3338B" w:rsidRDefault="00C7779F" w:rsidP="002D031B">
            <w:pPr>
              <w:spacing w:line="276" w:lineRule="auto"/>
              <w:jc w:val="center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 xml:space="preserve">        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D643D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B4C3C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22.716,07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845A2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C3338B" w14:paraId="61CA8CCE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B5FC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II faza zgrade FESB-a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F7949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BF5C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FE18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1B81B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14.652,03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0D866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C3338B" w14:paraId="68CB07F1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AD2D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Građevinski objekti FESB, Lora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8783B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5.354.006,15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943F5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0BD48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5.354.006,15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6499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2.791.333,21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23292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2.562.672,94</w:t>
            </w:r>
          </w:p>
        </w:tc>
      </w:tr>
      <w:tr w:rsidR="00E41334" w:rsidRPr="00C3338B" w14:paraId="415E82F3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CA0E3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Sportski tereni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B4F35E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126.289,51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91AE4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6A15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126.289,51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7658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112.455,21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E7A80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13.834,30</w:t>
            </w:r>
          </w:p>
        </w:tc>
      </w:tr>
      <w:tr w:rsidR="00E41334" w:rsidRPr="00C3338B" w14:paraId="55534C05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8742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Računala i računalna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BC6CA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2.134.627,66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62F17" w14:textId="77777777" w:rsidR="000A1016" w:rsidRPr="00C3338B" w:rsidRDefault="00C7779F" w:rsidP="00461DDB">
            <w:pPr>
              <w:spacing w:line="276" w:lineRule="auto"/>
              <w:jc w:val="right"/>
              <w:rPr>
                <w:bCs/>
                <w:sz w:val="22"/>
                <w:szCs w:val="22"/>
                <w:lang w:val="hr-HR"/>
              </w:rPr>
            </w:pPr>
            <w:r w:rsidRPr="00C3338B">
              <w:rPr>
                <w:bCs/>
                <w:sz w:val="22"/>
                <w:szCs w:val="22"/>
                <w:lang w:val="hr-HR"/>
              </w:rPr>
              <w:t>117.907,43</w:t>
            </w:r>
            <w:r w:rsidR="000A1016" w:rsidRPr="00C3338B">
              <w:rPr>
                <w:bCs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5AED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2.016.720,23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FA3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1.800.111,60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8A15D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334.516,06</w:t>
            </w:r>
          </w:p>
        </w:tc>
      </w:tr>
      <w:tr w:rsidR="00E41334" w:rsidRPr="00C3338B" w14:paraId="1F99D284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307B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Namještaj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učionice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88E8A1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913.106,76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512B66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7.707,02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AC9C3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905.399,74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B1248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862.296,58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4931" w14:textId="77777777" w:rsidR="000A1016" w:rsidRPr="00C3338B" w:rsidRDefault="004A674C" w:rsidP="00F9303E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50.810,18</w:t>
            </w:r>
          </w:p>
        </w:tc>
      </w:tr>
      <w:tr w:rsidR="00E41334" w:rsidRPr="00C3338B" w14:paraId="6E962ECC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D337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Uredska oprema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ostalo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CC6D6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27.225,57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4E245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96BCC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27.225,57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95F5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27.225,57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AFAD8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C3338B" w14:paraId="1B259F59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2B64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Radio i TV prijemnici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368BA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43.734,55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599C3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1.296,70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8A0C9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42.437,85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D1BC8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41.751,87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F9C8C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1.982,68</w:t>
            </w:r>
          </w:p>
        </w:tc>
      </w:tr>
      <w:tr w:rsidR="00E41334" w:rsidRPr="00C3338B" w14:paraId="17463EA4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CFCF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Telefonske centrala i ostali komadni uređaji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6EDB4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406.142,14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9BA07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1.239,05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27BC1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404.903,09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27375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340.287,44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408E5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65.854,70</w:t>
            </w:r>
          </w:p>
        </w:tc>
      </w:tr>
      <w:tr w:rsidR="00E41334" w:rsidRPr="00C3338B" w14:paraId="4F471676" w14:textId="77777777" w:rsidTr="0073641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062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Grijanje, ventilacija, hlađenje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0264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259.591,78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69AA9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6.172,18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80131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253.419,60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C26653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251.622,86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80D4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7.968,92</w:t>
            </w:r>
          </w:p>
        </w:tc>
      </w:tr>
      <w:tr w:rsidR="00E41334" w:rsidRPr="00C3338B" w14:paraId="7D907A59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97B6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Oprema za čišćenje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A2212" w14:textId="77777777" w:rsidR="000A1016" w:rsidRPr="00C3338B" w:rsidRDefault="00D826A7" w:rsidP="00D826A7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19.460,99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9D73E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8.884,66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34308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10.576,33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F7E1F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19.460,99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63A89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E41334" w:rsidRPr="00C3338B" w14:paraId="67F99848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ADB5" w14:textId="77777777" w:rsidR="000A1016" w:rsidRPr="00C3338B" w:rsidRDefault="000A1016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Vatrodojavni sustav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EB885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63.701,68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98FE5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2C44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63.701,68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91201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63.679,53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4A061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22,15</w:t>
            </w:r>
          </w:p>
        </w:tc>
      </w:tr>
      <w:tr w:rsidR="00E41334" w:rsidRPr="00C3338B" w14:paraId="1C9A7256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E37C" w14:textId="77777777" w:rsidR="000A1016" w:rsidRPr="00C3338B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Znanstvena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4B0A60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4.121.972,11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9E84E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3.790,40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D39A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4.118.181,71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778F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3.807.864,60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AA721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314.107,51</w:t>
            </w:r>
          </w:p>
        </w:tc>
      </w:tr>
      <w:tr w:rsidR="00E41334" w:rsidRPr="00C3338B" w14:paraId="2A3BA8C8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FC72" w14:textId="77777777" w:rsidR="000A1016" w:rsidRPr="00C3338B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Školska učila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8BE3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1.133.011,90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061A7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10.996,74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F0382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1.122.015,16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662C6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1.043.005,45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0829E2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90.006,45</w:t>
            </w:r>
          </w:p>
        </w:tc>
      </w:tr>
      <w:tr w:rsidR="00E41334" w:rsidRPr="00C3338B" w14:paraId="09B58FEC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C6CA" w14:textId="77777777" w:rsidR="000A1016" w:rsidRPr="00C3338B" w:rsidRDefault="00C00608" w:rsidP="00461DDB">
            <w:pPr>
              <w:spacing w:line="276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Mjerni i kontrolni uređaji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C50DD2" w14:textId="77777777" w:rsidR="000A1016" w:rsidRPr="00C3338B" w:rsidRDefault="00D826A7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B01458" w14:textId="77777777" w:rsidR="000A1016" w:rsidRPr="00C3338B" w:rsidRDefault="00C7779F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952C0" w14:textId="77777777" w:rsidR="000A1016" w:rsidRPr="00C3338B" w:rsidRDefault="002228D2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88769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1.839,41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FA40E" w14:textId="77777777" w:rsidR="000A1016" w:rsidRPr="00C3338B" w:rsidRDefault="004A674C" w:rsidP="00461DDB">
            <w:pPr>
              <w:spacing w:line="276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C3338B" w14:paraId="455070B2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F441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lastRenderedPageBreak/>
              <w:t>Glazbeni instrumenti i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18D5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3.234,71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9E90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3.234,71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577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472F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3.234,71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D7ED" w14:textId="77777777" w:rsidR="000A1016" w:rsidRPr="00C3338B" w:rsidRDefault="00D20453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C3338B" w14:paraId="061FDB8E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2F16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Ostali uređaji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mehanički strojevi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3157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27.961,85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1FD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524,26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00B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27.437,59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B7C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22.583,88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46B2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5.377,97</w:t>
            </w:r>
          </w:p>
        </w:tc>
      </w:tr>
      <w:tr w:rsidR="00C3338B" w:rsidRPr="00C3338B" w14:paraId="7D1F1B97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959B" w14:textId="77777777" w:rsidR="002228D2" w:rsidRPr="00C3338B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Oprema za ostale namjene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592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7.123,47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7699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AD24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7.123,47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0496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5.617,47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568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1.506,00</w:t>
            </w:r>
          </w:p>
        </w:tc>
      </w:tr>
      <w:tr w:rsidR="00C3338B" w:rsidRPr="00C3338B" w14:paraId="46B27AD4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76F4" w14:textId="77777777" w:rsidR="002228D2" w:rsidRPr="00C3338B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Ostala prijevozna sredstva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354D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8977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6070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8A19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25.712,66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99A6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C3338B" w14:paraId="135964EC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E4DE" w14:textId="77777777" w:rsidR="002228D2" w:rsidRPr="00C3338B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Djela likovnih umjetnika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E7EC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10.468,48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2951" w14:textId="77777777" w:rsidR="002228D2" w:rsidRPr="00C3338B" w:rsidRDefault="002228D2" w:rsidP="00DA1A00">
            <w:pPr>
              <w:spacing w:after="0" w:line="360" w:lineRule="auto"/>
              <w:jc w:val="center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 xml:space="preserve">                 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E770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10.468,48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373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F2B8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10.468,48</w:t>
            </w:r>
          </w:p>
        </w:tc>
      </w:tr>
      <w:tr w:rsidR="00C3338B" w:rsidRPr="00C3338B" w14:paraId="1487B296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70BF" w14:textId="77777777" w:rsidR="002228D2" w:rsidRPr="00C3338B" w:rsidRDefault="002228D2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Nasadi - okoliš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465F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570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A4F4" w14:textId="77777777" w:rsidR="002228D2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187A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18.603,57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F97B" w14:textId="77777777" w:rsidR="002228D2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C3338B" w14:paraId="569E74A0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23C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Računalni programi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E50C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345.872,80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E19D" w14:textId="77777777" w:rsidR="000A1016" w:rsidRPr="00C3338B" w:rsidRDefault="00C7779F" w:rsidP="00DA1A00">
            <w:pPr>
              <w:spacing w:after="0" w:line="360" w:lineRule="auto"/>
              <w:ind w:left="0" w:firstLine="0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13.461,03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1F39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332.411,77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9B9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285.710,93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D3C9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60.161,87</w:t>
            </w:r>
          </w:p>
        </w:tc>
      </w:tr>
      <w:tr w:rsidR="00C3338B" w:rsidRPr="00C3338B" w14:paraId="673FBE06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F738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Priprema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="00E60F65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–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="00E60F65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postrojenja i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oprema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D1B1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9.231,49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5E7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E979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9.231,49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687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B57F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9.231,49</w:t>
            </w:r>
          </w:p>
        </w:tc>
      </w:tr>
      <w:tr w:rsidR="00C3338B" w:rsidRPr="00C3338B" w14:paraId="558E8B27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69D3CF" w14:textId="77777777" w:rsidR="000A1016" w:rsidRPr="00C3338B" w:rsidRDefault="000A1016" w:rsidP="00DA1A00">
            <w:pPr>
              <w:spacing w:after="0" w:line="360" w:lineRule="auto"/>
              <w:ind w:right="175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nefinancijska imovina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EF67B1" w14:textId="77777777" w:rsidR="000A1016" w:rsidRPr="00C3338B" w:rsidRDefault="00D826A7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C3338B">
              <w:rPr>
                <w:b/>
                <w:bCs/>
                <w:noProof/>
                <w:sz w:val="22"/>
                <w:szCs w:val="22"/>
                <w:lang w:val="hr-HR"/>
              </w:rPr>
              <w:t>15.133.778,65</w: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69D3AF" w14:textId="77777777" w:rsidR="000A1016" w:rsidRPr="00C3338B" w:rsidRDefault="00C7779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C3338B">
              <w:rPr>
                <w:b/>
                <w:bCs/>
                <w:noProof/>
                <w:sz w:val="22"/>
                <w:szCs w:val="22"/>
                <w:lang w:val="hr-HR"/>
              </w:rPr>
              <w:t>175.214,18</w: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EAA702" w14:textId="77777777" w:rsidR="000A1016" w:rsidRPr="00C3338B" w:rsidRDefault="002228D2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C3338B">
              <w:rPr>
                <w:b/>
                <w:bCs/>
                <w:noProof/>
                <w:sz w:val="22"/>
                <w:szCs w:val="22"/>
                <w:lang w:val="hr-HR"/>
              </w:rPr>
              <w:t>14.958.564,47</w: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15C7AE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C3338B">
              <w:rPr>
                <w:b/>
                <w:bCs/>
                <w:noProof/>
                <w:sz w:val="22"/>
                <w:szCs w:val="22"/>
                <w:lang w:val="hr-HR"/>
              </w:rPr>
              <w:t>11.602.444,6</w: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A0A6B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begin"/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instrText xml:space="preserve"> =SUM(ABOVE) </w:instrTex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separate"/>
            </w:r>
            <w:r w:rsidRPr="00C3338B">
              <w:rPr>
                <w:b/>
                <w:bCs/>
                <w:noProof/>
                <w:sz w:val="22"/>
                <w:szCs w:val="22"/>
                <w:lang w:val="hr-HR"/>
              </w:rPr>
              <w:t>3.531.334,05</w:t>
            </w:r>
            <w:r w:rsidRPr="00C3338B">
              <w:rPr>
                <w:b/>
                <w:bCs/>
                <w:sz w:val="22"/>
                <w:szCs w:val="22"/>
                <w:lang w:val="hr-HR"/>
              </w:rPr>
              <w:fldChar w:fldCharType="end"/>
            </w:r>
          </w:p>
        </w:tc>
      </w:tr>
      <w:tr w:rsidR="00C3338B" w:rsidRPr="00C3338B" w14:paraId="11D951CD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40AA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Knjige u knjižnici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B05E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172.511,69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F497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3B05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172.511,69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F373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168.201,79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6B4E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4.309,90</w:t>
            </w:r>
          </w:p>
        </w:tc>
      </w:tr>
      <w:tr w:rsidR="00C3338B" w:rsidRPr="00C3338B" w14:paraId="389FF117" w14:textId="77777777" w:rsidTr="00DA1A00">
        <w:trPr>
          <w:trHeight w:val="2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DD5E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Knjige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-</w:t>
            </w:r>
            <w:r w:rsidR="00CE7CFE"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 xml:space="preserve"> </w:t>
            </w: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elektronske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4C51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3.454,70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B237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CC50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3.454,70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4DB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3.368,39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D74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86,31</w:t>
            </w:r>
          </w:p>
        </w:tc>
      </w:tr>
      <w:tr w:rsidR="00C3338B" w:rsidRPr="00C3338B" w14:paraId="30F88708" w14:textId="77777777" w:rsidTr="00DA1A00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F0D0CD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nefinancijska imovina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73352" w14:textId="77777777" w:rsidR="000A1016" w:rsidRPr="00C3338B" w:rsidRDefault="00D826A7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15.309.745,04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C8AB86" w14:textId="77777777" w:rsidR="000A1016" w:rsidRPr="00C3338B" w:rsidRDefault="00C7779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175.214,18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69329D" w14:textId="77777777" w:rsidR="000A1016" w:rsidRPr="00C3338B" w:rsidRDefault="002228D2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15.134.530,86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758F9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11.774.014,78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D1B2D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3.535.730,26</w:t>
            </w:r>
          </w:p>
        </w:tc>
      </w:tr>
      <w:tr w:rsidR="00C3338B" w:rsidRPr="00C3338B" w14:paraId="6B2E88A9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1725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Sitan inventar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D18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325.376,01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E5B7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21.636,36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68B6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303.739,65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CFAE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325.376,01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1D93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</w:tr>
      <w:tr w:rsidR="00C3338B" w:rsidRPr="00C3338B" w14:paraId="5982FFA5" w14:textId="77777777" w:rsidTr="00DA1A0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A9C3" w14:textId="77777777" w:rsidR="000A1016" w:rsidRPr="00C3338B" w:rsidRDefault="000A1016" w:rsidP="00DA1A00">
            <w:pPr>
              <w:spacing w:after="0" w:line="360" w:lineRule="auto"/>
              <w:rPr>
                <w:rFonts w:eastAsia="Calibri"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Cs/>
                <w:sz w:val="22"/>
                <w:szCs w:val="22"/>
                <w:lang w:val="hr-HR" w:eastAsia="en-US"/>
              </w:rPr>
              <w:t>Izdavačka djelatnost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8D1C" w14:textId="77777777" w:rsidR="000A1016" w:rsidRPr="00C3338B" w:rsidRDefault="00D826A7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47.575,53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3AF8" w14:textId="77777777" w:rsidR="000A1016" w:rsidRPr="00C3338B" w:rsidRDefault="00C7779F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717" w14:textId="77777777" w:rsidR="000A1016" w:rsidRPr="00C3338B" w:rsidRDefault="002228D2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47.575,53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85E1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F18F" w14:textId="77777777" w:rsidR="000A1016" w:rsidRPr="00C3338B" w:rsidRDefault="004A674C" w:rsidP="00DA1A00">
            <w:pPr>
              <w:spacing w:after="0" w:line="360" w:lineRule="auto"/>
              <w:jc w:val="right"/>
              <w:rPr>
                <w:sz w:val="22"/>
                <w:szCs w:val="22"/>
                <w:lang w:val="hr-HR"/>
              </w:rPr>
            </w:pPr>
            <w:r w:rsidRPr="00C3338B">
              <w:rPr>
                <w:sz w:val="22"/>
                <w:szCs w:val="22"/>
                <w:lang w:val="hr-HR"/>
              </w:rPr>
              <w:t>47.575,53</w:t>
            </w:r>
          </w:p>
        </w:tc>
      </w:tr>
      <w:tr w:rsidR="00C3338B" w:rsidRPr="00C3338B" w14:paraId="02711826" w14:textId="77777777" w:rsidTr="00DA1A00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965129" w14:textId="77777777" w:rsidR="000A1016" w:rsidRPr="00C3338B" w:rsidRDefault="000A1016" w:rsidP="00DA1A00">
            <w:pPr>
              <w:spacing w:after="0" w:line="360" w:lineRule="auto"/>
              <w:ind w:left="0" w:firstLine="0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Ukupno dugotrajna nefin</w:t>
            </w:r>
            <w:r w:rsidR="00790087"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>ancijska</w:t>
            </w:r>
            <w:r w:rsidRPr="00C3338B"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  <w:t xml:space="preserve"> imovina i sitan inventar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B43ACE" w14:textId="77777777" w:rsidR="000A1016" w:rsidRPr="00C3338B" w:rsidRDefault="00D826A7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15.682.696,58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0D16A" w14:textId="77777777" w:rsidR="000A1016" w:rsidRPr="00C3338B" w:rsidRDefault="00C7779F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196.850,54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AED4E2" w14:textId="77777777" w:rsidR="000A1016" w:rsidRPr="00C3338B" w:rsidRDefault="002228D2" w:rsidP="00DA1A00">
            <w:pPr>
              <w:spacing w:after="0" w:line="360" w:lineRule="auto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 xml:space="preserve">     15.485.846,04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9A1DF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12.099.390,79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38B3B" w14:textId="77777777" w:rsidR="000A1016" w:rsidRPr="00C3338B" w:rsidRDefault="004A674C" w:rsidP="00DA1A00">
            <w:pPr>
              <w:spacing w:after="0" w:line="360" w:lineRule="auto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 w:rsidRPr="00C3338B">
              <w:rPr>
                <w:b/>
                <w:bCs/>
                <w:sz w:val="22"/>
                <w:szCs w:val="22"/>
                <w:lang w:val="hr-HR"/>
              </w:rPr>
              <w:t>3.583.305,79</w:t>
            </w:r>
          </w:p>
        </w:tc>
      </w:tr>
      <w:tr w:rsidR="00E41334" w:rsidRPr="00C3338B" w14:paraId="6095D265" w14:textId="77777777" w:rsidTr="00E7181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B828BF" w14:textId="77777777" w:rsidR="00FB25D3" w:rsidRPr="00C3338B" w:rsidRDefault="00FB25D3" w:rsidP="00461DDB">
            <w:pPr>
              <w:spacing w:line="276" w:lineRule="auto"/>
              <w:ind w:left="0" w:firstLine="0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FFF10A" w14:textId="77777777" w:rsidR="00FB25D3" w:rsidRPr="00C3338B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CF12AE" w14:textId="77777777" w:rsidR="00FB25D3" w:rsidRPr="00C3338B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0C7568" w14:textId="77777777" w:rsidR="00FB25D3" w:rsidRPr="00C3338B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00C23E" w14:textId="77777777" w:rsidR="00FB25D3" w:rsidRPr="00C3338B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28857C" w14:textId="77777777" w:rsidR="00FB25D3" w:rsidRPr="00C3338B" w:rsidRDefault="00FB25D3" w:rsidP="00461DDB">
            <w:pPr>
              <w:spacing w:line="276" w:lineRule="auto"/>
              <w:jc w:val="right"/>
              <w:rPr>
                <w:rFonts w:eastAsia="Calibri"/>
                <w:b/>
                <w:bCs/>
                <w:sz w:val="22"/>
                <w:szCs w:val="22"/>
                <w:lang w:val="hr-HR" w:eastAsia="en-US"/>
              </w:rPr>
            </w:pPr>
          </w:p>
        </w:tc>
      </w:tr>
    </w:tbl>
    <w:p w14:paraId="6EB55032" w14:textId="77777777" w:rsidR="00565F86" w:rsidRPr="00C3338B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p w14:paraId="3CD27065" w14:textId="77777777" w:rsidR="00565F86" w:rsidRPr="00C3338B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</w:pPr>
    </w:p>
    <w:p w14:paraId="702EB19F" w14:textId="77777777" w:rsidR="00565F86" w:rsidRPr="00EF6335" w:rsidRDefault="00565F86" w:rsidP="00461DDB">
      <w:pPr>
        <w:spacing w:after="0" w:line="276" w:lineRule="auto"/>
        <w:ind w:left="0" w:firstLine="0"/>
        <w:jc w:val="left"/>
        <w:rPr>
          <w:sz w:val="22"/>
          <w:szCs w:val="22"/>
          <w:shd w:val="clear" w:color="auto" w:fill="FFFFFF"/>
          <w:lang w:val="hr-HR"/>
        </w:rPr>
        <w:sectPr w:rsidR="00565F86" w:rsidRPr="00EF6335" w:rsidSect="0043176A">
          <w:pgSz w:w="16838" w:h="11906" w:orient="landscape"/>
          <w:pgMar w:top="1418" w:right="1418" w:bottom="1418" w:left="1418" w:header="142" w:footer="208" w:gutter="0"/>
          <w:cols w:space="720"/>
          <w:titlePg/>
          <w:docGrid w:linePitch="360"/>
        </w:sectPr>
      </w:pPr>
    </w:p>
    <w:p w14:paraId="4A612649" w14:textId="77777777" w:rsidR="005D3EC5" w:rsidRPr="00EF6335" w:rsidRDefault="005D3EC5" w:rsidP="003D1686">
      <w:pPr>
        <w:pStyle w:val="ListParagraph"/>
        <w:shd w:val="clear" w:color="auto" w:fill="FFFFFF"/>
        <w:spacing w:after="0" w:line="360" w:lineRule="auto"/>
        <w:ind w:left="360" w:firstLine="0"/>
        <w:jc w:val="left"/>
        <w:rPr>
          <w:sz w:val="24"/>
          <w:szCs w:val="24"/>
          <w:lang w:val="hr-HR"/>
        </w:rPr>
      </w:pPr>
    </w:p>
    <w:p w14:paraId="0C068C60" w14:textId="77777777" w:rsidR="00D872AF" w:rsidRPr="00A738FD" w:rsidRDefault="00054EB2" w:rsidP="00CA280B">
      <w:pPr>
        <w:pStyle w:val="ListParagraph"/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A738FD">
        <w:rPr>
          <w:sz w:val="22"/>
          <w:szCs w:val="22"/>
          <w:lang w:val="hr-HR"/>
        </w:rPr>
        <w:t xml:space="preserve">Iz priloženog izvješća Obrazac: PR-RAS za navedeno razdoblje </w:t>
      </w:r>
      <w:r w:rsidR="00D35EAC" w:rsidRPr="00A738FD">
        <w:rPr>
          <w:sz w:val="22"/>
          <w:szCs w:val="22"/>
          <w:lang w:val="hr-HR"/>
        </w:rPr>
        <w:t xml:space="preserve">na poziciji ostvareni </w:t>
      </w:r>
      <w:r w:rsidR="00D35EAC" w:rsidRPr="00A738FD">
        <w:rPr>
          <w:b/>
          <w:sz w:val="22"/>
          <w:szCs w:val="22"/>
          <w:lang w:val="hr-HR"/>
        </w:rPr>
        <w:t>ukupni</w:t>
      </w:r>
      <w:r w:rsidR="00D35EAC" w:rsidRPr="00A738FD">
        <w:rPr>
          <w:sz w:val="22"/>
          <w:szCs w:val="22"/>
          <w:lang w:val="hr-HR"/>
        </w:rPr>
        <w:t xml:space="preserve"> </w:t>
      </w:r>
      <w:r w:rsidR="00D35EAC" w:rsidRPr="00A738FD">
        <w:rPr>
          <w:b/>
          <w:sz w:val="22"/>
          <w:szCs w:val="22"/>
          <w:lang w:val="hr-HR"/>
        </w:rPr>
        <w:t>prihodi</w:t>
      </w:r>
      <w:r w:rsidRPr="00A738FD">
        <w:rPr>
          <w:sz w:val="22"/>
          <w:szCs w:val="22"/>
          <w:lang w:val="hr-HR"/>
        </w:rPr>
        <w:t xml:space="preserve"> vidljivo je da su ostvareni ukupni prihodi u odnosu na prethodn</w:t>
      </w:r>
      <w:r w:rsidR="00D35EAC" w:rsidRPr="00A738FD">
        <w:rPr>
          <w:sz w:val="22"/>
          <w:szCs w:val="22"/>
          <w:lang w:val="hr-HR"/>
        </w:rPr>
        <w:t>u</w:t>
      </w:r>
      <w:r w:rsidRPr="00A738FD">
        <w:rPr>
          <w:sz w:val="22"/>
          <w:szCs w:val="22"/>
          <w:lang w:val="hr-HR"/>
        </w:rPr>
        <w:t xml:space="preserve"> godin</w:t>
      </w:r>
      <w:r w:rsidR="00D35EAC" w:rsidRPr="00A738FD">
        <w:rPr>
          <w:sz w:val="22"/>
          <w:szCs w:val="22"/>
          <w:lang w:val="hr-HR"/>
        </w:rPr>
        <w:t>u</w:t>
      </w:r>
      <w:r w:rsidRPr="00A738FD">
        <w:rPr>
          <w:sz w:val="22"/>
          <w:szCs w:val="22"/>
          <w:lang w:val="hr-HR"/>
        </w:rPr>
        <w:t xml:space="preserve"> na </w:t>
      </w:r>
      <w:r w:rsidR="00CF7396" w:rsidRPr="00A738FD">
        <w:rPr>
          <w:sz w:val="22"/>
          <w:szCs w:val="22"/>
          <w:lang w:val="hr-HR"/>
        </w:rPr>
        <w:t>1</w:t>
      </w:r>
      <w:r w:rsidR="00D17020" w:rsidRPr="00A738FD">
        <w:rPr>
          <w:sz w:val="22"/>
          <w:szCs w:val="22"/>
          <w:lang w:val="hr-HR"/>
        </w:rPr>
        <w:t>12</w:t>
      </w:r>
      <w:r w:rsidR="006F19F3" w:rsidRPr="00A738FD">
        <w:rPr>
          <w:sz w:val="22"/>
          <w:szCs w:val="22"/>
          <w:lang w:val="hr-HR"/>
        </w:rPr>
        <w:t>,</w:t>
      </w:r>
      <w:r w:rsidR="00D17020" w:rsidRPr="00A738FD">
        <w:rPr>
          <w:sz w:val="22"/>
          <w:szCs w:val="22"/>
          <w:lang w:val="hr-HR"/>
        </w:rPr>
        <w:t>0</w:t>
      </w:r>
      <w:r w:rsidR="00AC79CA" w:rsidRPr="00A738FD">
        <w:rPr>
          <w:sz w:val="22"/>
          <w:szCs w:val="22"/>
          <w:lang w:val="hr-HR"/>
        </w:rPr>
        <w:t xml:space="preserve"> </w:t>
      </w:r>
      <w:r w:rsidRPr="00A738FD">
        <w:rPr>
          <w:sz w:val="22"/>
          <w:szCs w:val="22"/>
          <w:lang w:val="hr-HR"/>
        </w:rPr>
        <w:t xml:space="preserve">indeksna </w:t>
      </w:r>
      <w:r w:rsidR="00D35EAC" w:rsidRPr="00A738FD">
        <w:rPr>
          <w:sz w:val="22"/>
          <w:szCs w:val="22"/>
          <w:lang w:val="hr-HR"/>
        </w:rPr>
        <w:t>bod</w:t>
      </w:r>
      <w:r w:rsidRPr="00A738FD">
        <w:rPr>
          <w:sz w:val="22"/>
          <w:szCs w:val="22"/>
          <w:lang w:val="hr-HR"/>
        </w:rPr>
        <w:t>a</w:t>
      </w:r>
      <w:r w:rsidR="007E4B44" w:rsidRPr="00A738FD">
        <w:rPr>
          <w:sz w:val="22"/>
          <w:szCs w:val="22"/>
          <w:lang w:val="hr-HR"/>
        </w:rPr>
        <w:t xml:space="preserve">. </w:t>
      </w:r>
      <w:r w:rsidR="00D17020" w:rsidRPr="00A738FD">
        <w:rPr>
          <w:sz w:val="22"/>
          <w:szCs w:val="22"/>
          <w:lang w:val="hr-HR"/>
        </w:rPr>
        <w:t>Obzirom na značajno veće ukupne prihode gotovo na svim pozicijama prihoda bilježimo određena povećanja. Navedeno povećanje prvenstveno je rezultat povećanih prihoda od pruženih usluga na tržištu kao i prihoda od donacija (primljena sredstva u sklopu EU projekata na kojima su nositelji projekata trgovačka društva</w:t>
      </w:r>
      <w:r w:rsidR="00F83429" w:rsidRPr="00A738FD">
        <w:rPr>
          <w:sz w:val="22"/>
          <w:szCs w:val="22"/>
          <w:lang w:val="hr-HR"/>
        </w:rPr>
        <w:t xml:space="preserve">) tako da su prihodi od pruženih usluga </w:t>
      </w:r>
      <w:r w:rsidR="00D17020" w:rsidRPr="00A738FD">
        <w:rPr>
          <w:sz w:val="22"/>
          <w:szCs w:val="22"/>
          <w:lang w:val="hr-HR"/>
        </w:rPr>
        <w:t xml:space="preserve">povećani u odnosu </w:t>
      </w:r>
      <w:r w:rsidR="009125A3" w:rsidRPr="00A738FD">
        <w:rPr>
          <w:sz w:val="22"/>
          <w:szCs w:val="22"/>
          <w:lang w:val="hr-HR"/>
        </w:rPr>
        <w:t>na prethodnu godinu za 67,4</w:t>
      </w:r>
      <w:r w:rsidR="00D17020" w:rsidRPr="00A738FD">
        <w:rPr>
          <w:sz w:val="22"/>
          <w:szCs w:val="22"/>
          <w:lang w:val="hr-HR"/>
        </w:rPr>
        <w:t xml:space="preserve">%, </w:t>
      </w:r>
      <w:r w:rsidR="00F83429" w:rsidRPr="00A738FD">
        <w:rPr>
          <w:sz w:val="22"/>
          <w:szCs w:val="22"/>
          <w:lang w:val="hr-HR"/>
        </w:rPr>
        <w:t xml:space="preserve">a sredstva od donacija </w:t>
      </w:r>
      <w:r w:rsidR="00D17020" w:rsidRPr="00A738FD">
        <w:rPr>
          <w:sz w:val="22"/>
          <w:szCs w:val="22"/>
          <w:lang w:val="hr-HR"/>
        </w:rPr>
        <w:t>za 62,9%.</w:t>
      </w:r>
      <w:r w:rsidR="00F83429" w:rsidRPr="00A738FD">
        <w:rPr>
          <w:sz w:val="22"/>
          <w:szCs w:val="22"/>
          <w:lang w:val="hr-HR"/>
        </w:rPr>
        <w:t xml:space="preserve"> U prosincu su doznačena sredstva u sklopu CEKOM projekata od trgovačkog društva DIV </w:t>
      </w:r>
      <w:r w:rsidR="009125A3" w:rsidRPr="00A738FD">
        <w:rPr>
          <w:sz w:val="22"/>
          <w:szCs w:val="22"/>
          <w:lang w:val="hr-HR"/>
        </w:rPr>
        <w:t xml:space="preserve">GRUPA </w:t>
      </w:r>
      <w:r w:rsidR="00F83429" w:rsidRPr="00A738FD">
        <w:rPr>
          <w:sz w:val="22"/>
          <w:szCs w:val="22"/>
          <w:lang w:val="hr-HR"/>
        </w:rPr>
        <w:t>d.o.o. u iznosu od 621.277,75 eura.</w:t>
      </w:r>
      <w:r w:rsidR="009125A3" w:rsidRPr="00A738FD">
        <w:rPr>
          <w:sz w:val="22"/>
          <w:szCs w:val="22"/>
          <w:lang w:val="hr-HR"/>
        </w:rPr>
        <w:t xml:space="preserve"> </w:t>
      </w:r>
      <w:r w:rsidR="00041E99" w:rsidRPr="00A738FD">
        <w:rPr>
          <w:sz w:val="22"/>
          <w:szCs w:val="22"/>
          <w:lang w:val="hr-HR"/>
        </w:rPr>
        <w:t>Povećani ukupno ostvareni</w:t>
      </w:r>
      <w:r w:rsidR="007E4B44" w:rsidRPr="00A738FD">
        <w:rPr>
          <w:sz w:val="22"/>
          <w:szCs w:val="22"/>
          <w:lang w:val="hr-HR"/>
        </w:rPr>
        <w:t xml:space="preserve"> p</w:t>
      </w:r>
      <w:r w:rsidR="00041E99" w:rsidRPr="00A738FD">
        <w:rPr>
          <w:sz w:val="22"/>
          <w:szCs w:val="22"/>
          <w:lang w:val="hr-HR"/>
        </w:rPr>
        <w:t xml:space="preserve">rihodi u odnosu na prethodnu godinu </w:t>
      </w:r>
      <w:r w:rsidR="00F83429" w:rsidRPr="00A738FD">
        <w:rPr>
          <w:sz w:val="22"/>
          <w:szCs w:val="22"/>
          <w:lang w:val="hr-HR"/>
        </w:rPr>
        <w:t>također su rezultat</w:t>
      </w:r>
      <w:r w:rsidR="009125A3" w:rsidRPr="00A738FD">
        <w:rPr>
          <w:sz w:val="22"/>
          <w:szCs w:val="22"/>
          <w:lang w:val="hr-HR"/>
        </w:rPr>
        <w:t xml:space="preserve"> i </w:t>
      </w:r>
      <w:r w:rsidR="00041E99" w:rsidRPr="00A738FD">
        <w:rPr>
          <w:sz w:val="22"/>
          <w:szCs w:val="22"/>
          <w:lang w:val="hr-HR"/>
        </w:rPr>
        <w:t xml:space="preserve">povećanja </w:t>
      </w:r>
      <w:r w:rsidR="00397946" w:rsidRPr="00A738FD">
        <w:rPr>
          <w:sz w:val="22"/>
          <w:szCs w:val="22"/>
          <w:lang w:val="hr-HR"/>
        </w:rPr>
        <w:t xml:space="preserve">na poziciji 6711 - </w:t>
      </w:r>
      <w:r w:rsidR="00041E99" w:rsidRPr="00A738FD">
        <w:rPr>
          <w:sz w:val="22"/>
          <w:szCs w:val="22"/>
          <w:lang w:val="hr-HR"/>
        </w:rPr>
        <w:t>prihoda iz nadležnog proračuna za financiranje redovne djelatnosti proračunskih korisnika</w:t>
      </w:r>
      <w:r w:rsidR="00397946" w:rsidRPr="00A738FD">
        <w:rPr>
          <w:sz w:val="22"/>
          <w:szCs w:val="22"/>
          <w:lang w:val="hr-HR"/>
        </w:rPr>
        <w:t xml:space="preserve"> za </w:t>
      </w:r>
      <w:r w:rsidR="00F83429" w:rsidRPr="00A738FD">
        <w:rPr>
          <w:sz w:val="22"/>
          <w:szCs w:val="22"/>
          <w:lang w:val="hr-HR"/>
        </w:rPr>
        <w:t>5,3</w:t>
      </w:r>
      <w:r w:rsidR="00397946" w:rsidRPr="00A738FD">
        <w:rPr>
          <w:sz w:val="22"/>
          <w:szCs w:val="22"/>
          <w:lang w:val="hr-HR"/>
        </w:rPr>
        <w:t xml:space="preserve"> %.</w:t>
      </w:r>
    </w:p>
    <w:p w14:paraId="7243E7C8" w14:textId="77777777" w:rsidR="00D872AF" w:rsidRPr="00A738FD" w:rsidRDefault="00D872AF" w:rsidP="00D872AF">
      <w:pPr>
        <w:spacing w:after="0" w:line="360" w:lineRule="auto"/>
        <w:ind w:left="360" w:firstLine="0"/>
        <w:rPr>
          <w:sz w:val="22"/>
          <w:szCs w:val="22"/>
          <w:lang w:val="hr-HR"/>
        </w:rPr>
      </w:pPr>
    </w:p>
    <w:p w14:paraId="321FEA9A" w14:textId="77777777" w:rsidR="00EF6387" w:rsidRPr="00A738FD" w:rsidRDefault="0049652B" w:rsidP="005E1180">
      <w:pPr>
        <w:pStyle w:val="ListParagraph"/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A738FD">
        <w:rPr>
          <w:sz w:val="22"/>
          <w:szCs w:val="22"/>
          <w:lang w:val="hr-HR"/>
        </w:rPr>
        <w:t>P</w:t>
      </w:r>
      <w:r w:rsidR="00E41B14" w:rsidRPr="00A738FD">
        <w:rPr>
          <w:sz w:val="22"/>
          <w:szCs w:val="22"/>
          <w:lang w:val="hr-HR"/>
        </w:rPr>
        <w:t>rihod</w:t>
      </w:r>
      <w:r w:rsidR="006F19F3" w:rsidRPr="00A738FD">
        <w:rPr>
          <w:sz w:val="22"/>
          <w:szCs w:val="22"/>
          <w:lang w:val="hr-HR"/>
        </w:rPr>
        <w:t>i</w:t>
      </w:r>
      <w:r w:rsidR="00E41B14" w:rsidRPr="00A738FD">
        <w:rPr>
          <w:sz w:val="22"/>
          <w:szCs w:val="22"/>
          <w:lang w:val="hr-HR"/>
        </w:rPr>
        <w:t xml:space="preserve"> iz na</w:t>
      </w:r>
      <w:r w:rsidR="00397946" w:rsidRPr="00A738FD">
        <w:rPr>
          <w:sz w:val="22"/>
          <w:szCs w:val="22"/>
          <w:lang w:val="hr-HR"/>
        </w:rPr>
        <w:t xml:space="preserve">dležnog proračuna na poziciji 6711 </w:t>
      </w:r>
      <w:r w:rsidRPr="00A738FD">
        <w:rPr>
          <w:sz w:val="22"/>
          <w:szCs w:val="22"/>
          <w:lang w:val="hr-HR"/>
        </w:rPr>
        <w:t xml:space="preserve">značajno su povećani </w:t>
      </w:r>
      <w:r w:rsidR="00E41B14" w:rsidRPr="00A738FD">
        <w:rPr>
          <w:sz w:val="22"/>
          <w:szCs w:val="22"/>
          <w:lang w:val="hr-HR"/>
        </w:rPr>
        <w:t>zbog sporazuma Vlade RH i Sindikata znanosti i visokog obrazovanja o povećanju osnovice plaće za javne službenike</w:t>
      </w:r>
      <w:r w:rsidR="00AC79CA" w:rsidRPr="00A738FD">
        <w:rPr>
          <w:sz w:val="22"/>
          <w:szCs w:val="22"/>
          <w:lang w:val="hr-HR"/>
        </w:rPr>
        <w:t xml:space="preserve"> za </w:t>
      </w:r>
      <w:r w:rsidR="005E1180" w:rsidRPr="00A738FD">
        <w:rPr>
          <w:sz w:val="22"/>
          <w:szCs w:val="22"/>
          <w:lang w:val="hr-HR"/>
        </w:rPr>
        <w:t>2</w:t>
      </w:r>
      <w:r w:rsidR="00397946" w:rsidRPr="00A738FD">
        <w:rPr>
          <w:sz w:val="22"/>
          <w:szCs w:val="22"/>
          <w:lang w:val="hr-HR"/>
        </w:rPr>
        <w:t xml:space="preserve">% od </w:t>
      </w:r>
      <w:r w:rsidR="005E1180" w:rsidRPr="00A738FD">
        <w:rPr>
          <w:sz w:val="22"/>
          <w:szCs w:val="22"/>
          <w:lang w:val="hr-HR"/>
        </w:rPr>
        <w:t>travnja i dodatnih 5% od listopada 2023</w:t>
      </w:r>
      <w:r w:rsidR="00397946" w:rsidRPr="00A738FD">
        <w:rPr>
          <w:sz w:val="22"/>
          <w:szCs w:val="22"/>
          <w:lang w:val="hr-HR"/>
        </w:rPr>
        <w:t>., kao i materijalnih prava sukladno Dodatku temeljnom kolektivnom ugovoru. Isto tako, povećanje se odnosi na doznačena sredstva za pravomoćne sudske presude</w:t>
      </w:r>
      <w:r w:rsidR="005E1180" w:rsidRPr="00A738FD">
        <w:rPr>
          <w:sz w:val="22"/>
          <w:szCs w:val="22"/>
          <w:lang w:val="hr-HR"/>
        </w:rPr>
        <w:t xml:space="preserve"> za isplatu razlike plaće</w:t>
      </w:r>
      <w:r w:rsidR="00397946" w:rsidRPr="00A738FD">
        <w:rPr>
          <w:sz w:val="22"/>
          <w:szCs w:val="22"/>
          <w:lang w:val="hr-HR"/>
        </w:rPr>
        <w:t xml:space="preserve"> </w:t>
      </w:r>
      <w:r w:rsidR="005E1180" w:rsidRPr="00A738FD">
        <w:rPr>
          <w:sz w:val="22"/>
          <w:szCs w:val="22"/>
          <w:lang w:val="hr-HR"/>
        </w:rPr>
        <w:t>u iznosu od 93.990,89 eura</w:t>
      </w:r>
      <w:r w:rsidR="00C42C21" w:rsidRPr="00A738FD">
        <w:rPr>
          <w:sz w:val="22"/>
          <w:szCs w:val="22"/>
          <w:lang w:val="hr-HR"/>
        </w:rPr>
        <w:t>.</w:t>
      </w:r>
      <w:r w:rsidR="003D1686" w:rsidRPr="00A738FD">
        <w:rPr>
          <w:sz w:val="22"/>
          <w:szCs w:val="22"/>
          <w:lang w:val="hr-HR"/>
        </w:rPr>
        <w:br/>
      </w:r>
    </w:p>
    <w:p w14:paraId="0D77F508" w14:textId="77777777" w:rsidR="005C0ED6" w:rsidRPr="00A738FD" w:rsidRDefault="005C0ED6" w:rsidP="005C0ED6">
      <w:pPr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A738FD">
        <w:rPr>
          <w:sz w:val="22"/>
          <w:szCs w:val="22"/>
          <w:lang w:val="hr-HR"/>
        </w:rPr>
        <w:t xml:space="preserve">Iz priloženog izvješća Obrazac: PR-RAS za navedeno razdoblje na poziciji ostvareni </w:t>
      </w:r>
      <w:r w:rsidRPr="00A738FD">
        <w:rPr>
          <w:b/>
          <w:sz w:val="22"/>
          <w:szCs w:val="22"/>
          <w:lang w:val="hr-HR"/>
        </w:rPr>
        <w:t>ukupni</w:t>
      </w:r>
      <w:r w:rsidRPr="00A738FD">
        <w:rPr>
          <w:sz w:val="22"/>
          <w:szCs w:val="22"/>
          <w:lang w:val="hr-HR"/>
        </w:rPr>
        <w:t xml:space="preserve"> </w:t>
      </w:r>
      <w:r w:rsidRPr="00A738FD">
        <w:rPr>
          <w:b/>
          <w:sz w:val="22"/>
          <w:szCs w:val="22"/>
          <w:lang w:val="hr-HR"/>
        </w:rPr>
        <w:t>rashodi</w:t>
      </w:r>
      <w:r w:rsidRPr="00A738FD">
        <w:rPr>
          <w:sz w:val="22"/>
          <w:szCs w:val="22"/>
          <w:lang w:val="hr-HR"/>
        </w:rPr>
        <w:t xml:space="preserve"> vidljivo je da su ostvareni ukupni rashodi u odnosu na prethodnu godinu na </w:t>
      </w:r>
      <w:r w:rsidR="005F3FDF" w:rsidRPr="00A738FD">
        <w:rPr>
          <w:sz w:val="22"/>
          <w:szCs w:val="22"/>
          <w:lang w:val="hr-HR"/>
        </w:rPr>
        <w:t>98,4</w:t>
      </w:r>
      <w:r w:rsidRPr="00A738FD">
        <w:rPr>
          <w:sz w:val="22"/>
          <w:szCs w:val="22"/>
          <w:lang w:val="hr-HR"/>
        </w:rPr>
        <w:t xml:space="preserve"> indeksna boda.</w:t>
      </w:r>
      <w:r w:rsidR="00DB35B2" w:rsidRPr="00A738FD">
        <w:rPr>
          <w:sz w:val="22"/>
          <w:szCs w:val="22"/>
          <w:lang w:val="hr-HR"/>
        </w:rPr>
        <w:t xml:space="preserve"> </w:t>
      </w:r>
      <w:r w:rsidR="005F3FDF" w:rsidRPr="00A738FD">
        <w:rPr>
          <w:sz w:val="22"/>
          <w:szCs w:val="22"/>
          <w:lang w:val="hr-HR"/>
        </w:rPr>
        <w:t>Unatoč</w:t>
      </w:r>
      <w:r w:rsidR="00DB35B2" w:rsidRPr="00A738FD">
        <w:rPr>
          <w:sz w:val="22"/>
          <w:szCs w:val="22"/>
          <w:lang w:val="hr-HR"/>
        </w:rPr>
        <w:t xml:space="preserve"> značajno</w:t>
      </w:r>
      <w:r w:rsidR="005F3FDF" w:rsidRPr="00A738FD">
        <w:rPr>
          <w:sz w:val="22"/>
          <w:szCs w:val="22"/>
          <w:lang w:val="hr-HR"/>
        </w:rPr>
        <w:t>m</w:t>
      </w:r>
      <w:r w:rsidR="00DB35B2" w:rsidRPr="00A738FD">
        <w:rPr>
          <w:sz w:val="22"/>
          <w:szCs w:val="22"/>
          <w:lang w:val="hr-HR"/>
        </w:rPr>
        <w:t xml:space="preserve"> povećan</w:t>
      </w:r>
      <w:r w:rsidR="005F3FDF" w:rsidRPr="00A738FD">
        <w:rPr>
          <w:sz w:val="22"/>
          <w:szCs w:val="22"/>
          <w:lang w:val="hr-HR"/>
        </w:rPr>
        <w:t>ju</w:t>
      </w:r>
      <w:r w:rsidR="00DB35B2" w:rsidRPr="00A738FD">
        <w:rPr>
          <w:sz w:val="22"/>
          <w:szCs w:val="22"/>
          <w:lang w:val="hr-HR"/>
        </w:rPr>
        <w:t xml:space="preserve"> rashod</w:t>
      </w:r>
      <w:r w:rsidR="00384F4B" w:rsidRPr="00A738FD">
        <w:rPr>
          <w:sz w:val="22"/>
          <w:szCs w:val="22"/>
          <w:lang w:val="hr-HR"/>
        </w:rPr>
        <w:t>a</w:t>
      </w:r>
      <w:r w:rsidR="006A666F" w:rsidRPr="00A738FD">
        <w:rPr>
          <w:sz w:val="22"/>
          <w:szCs w:val="22"/>
          <w:lang w:val="hr-HR"/>
        </w:rPr>
        <w:t xml:space="preserve"> na pozicijama 311,321,313 – rashodi za zaposlene </w:t>
      </w:r>
      <w:r w:rsidR="00E41B14" w:rsidRPr="00A738FD">
        <w:rPr>
          <w:sz w:val="22"/>
          <w:szCs w:val="22"/>
          <w:lang w:val="hr-HR"/>
        </w:rPr>
        <w:t>zbog sporazuma Vlade RH i Sindikata znanosti i visokog obrazovanja o povećanju osnovice plaće za javne službenike</w:t>
      </w:r>
      <w:r w:rsidR="00AC79CA" w:rsidRPr="00A738FD">
        <w:rPr>
          <w:sz w:val="22"/>
          <w:szCs w:val="22"/>
          <w:lang w:val="hr-HR"/>
        </w:rPr>
        <w:t xml:space="preserve"> za </w:t>
      </w:r>
      <w:r w:rsidR="00384F4B" w:rsidRPr="00A738FD">
        <w:rPr>
          <w:sz w:val="22"/>
          <w:szCs w:val="22"/>
          <w:lang w:val="hr-HR"/>
        </w:rPr>
        <w:t>2% od travnja i dodatnih 5% od listopada</w:t>
      </w:r>
      <w:r w:rsidR="006A666F" w:rsidRPr="00A738FD">
        <w:rPr>
          <w:sz w:val="22"/>
          <w:szCs w:val="22"/>
          <w:lang w:val="hr-HR"/>
        </w:rPr>
        <w:t>, ka</w:t>
      </w:r>
      <w:r w:rsidR="00384F4B" w:rsidRPr="00A738FD">
        <w:rPr>
          <w:sz w:val="22"/>
          <w:szCs w:val="22"/>
          <w:lang w:val="hr-HR"/>
        </w:rPr>
        <w:t xml:space="preserve">o i materijalnih prava sukladno </w:t>
      </w:r>
      <w:r w:rsidR="006A666F" w:rsidRPr="00A738FD">
        <w:rPr>
          <w:sz w:val="22"/>
          <w:szCs w:val="22"/>
          <w:lang w:val="hr-HR"/>
        </w:rPr>
        <w:t>Dodatku temeljnom kolektivnom ugovoru</w:t>
      </w:r>
      <w:r w:rsidR="00384F4B" w:rsidRPr="00A738FD">
        <w:rPr>
          <w:sz w:val="22"/>
          <w:szCs w:val="22"/>
          <w:lang w:val="hr-HR"/>
        </w:rPr>
        <w:t xml:space="preserve"> bilježimo smanjenje ukupnih rashoda u odnosu na prethodnu</w:t>
      </w:r>
      <w:r w:rsidR="00E93EC8" w:rsidRPr="00A738FD">
        <w:rPr>
          <w:sz w:val="22"/>
          <w:szCs w:val="22"/>
          <w:lang w:val="hr-HR"/>
        </w:rPr>
        <w:t xml:space="preserve">  </w:t>
      </w:r>
      <w:r w:rsidR="00384F4B" w:rsidRPr="00A738FD">
        <w:rPr>
          <w:sz w:val="22"/>
          <w:szCs w:val="22"/>
          <w:lang w:val="hr-HR"/>
        </w:rPr>
        <w:t>godinu.</w:t>
      </w:r>
      <w:r w:rsidR="000710D5" w:rsidRPr="00A738FD">
        <w:rPr>
          <w:sz w:val="22"/>
          <w:szCs w:val="22"/>
          <w:lang w:val="hr-HR"/>
        </w:rPr>
        <w:t xml:space="preserve"> P</w:t>
      </w:r>
      <w:r w:rsidR="00E93EC8" w:rsidRPr="00A738FD">
        <w:rPr>
          <w:sz w:val="22"/>
          <w:szCs w:val="22"/>
          <w:lang w:val="hr-HR"/>
        </w:rPr>
        <w:t xml:space="preserve">ozicija materijalnih rashoda je ostala u apsolutnom iznosu manja u odnosu na prethodno razdoblje </w:t>
      </w:r>
      <w:r w:rsidR="000710D5" w:rsidRPr="00A738FD">
        <w:rPr>
          <w:sz w:val="22"/>
          <w:szCs w:val="22"/>
          <w:lang w:val="hr-HR"/>
        </w:rPr>
        <w:t xml:space="preserve">unatoč inflatornim utjecajima, a </w:t>
      </w:r>
      <w:r w:rsidR="00E93EC8" w:rsidRPr="00A738FD">
        <w:rPr>
          <w:sz w:val="22"/>
          <w:szCs w:val="22"/>
          <w:lang w:val="hr-HR"/>
        </w:rPr>
        <w:t>zbog internih mjera</w:t>
      </w:r>
      <w:r w:rsidR="000710D5" w:rsidRPr="00A738FD">
        <w:rPr>
          <w:sz w:val="22"/>
          <w:szCs w:val="22"/>
          <w:lang w:val="hr-HR"/>
        </w:rPr>
        <w:t xml:space="preserve"> </w:t>
      </w:r>
      <w:r w:rsidR="00E93EC8" w:rsidRPr="00A738FD">
        <w:rPr>
          <w:sz w:val="22"/>
          <w:szCs w:val="22"/>
          <w:lang w:val="hr-HR"/>
        </w:rPr>
        <w:t>štednje</w:t>
      </w:r>
      <w:r w:rsidR="000710D5" w:rsidRPr="00A738FD">
        <w:rPr>
          <w:sz w:val="22"/>
          <w:szCs w:val="22"/>
          <w:lang w:val="hr-HR"/>
        </w:rPr>
        <w:t>. Mjere su provedene zbog velike neizvjesnosti naplate potraživanja od strane DIV GRUPE d.o.o.</w:t>
      </w:r>
      <w:r w:rsidR="00E93EC8" w:rsidRPr="00A738FD">
        <w:rPr>
          <w:sz w:val="22"/>
          <w:szCs w:val="22"/>
          <w:lang w:val="hr-HR"/>
        </w:rPr>
        <w:t xml:space="preserve"> </w:t>
      </w:r>
      <w:r w:rsidR="000710D5" w:rsidRPr="00A738FD">
        <w:rPr>
          <w:sz w:val="22"/>
          <w:szCs w:val="22"/>
          <w:lang w:val="hr-HR"/>
        </w:rPr>
        <w:t xml:space="preserve">Na ukupno smanjene rashode također je značajno utjecala okolnost </w:t>
      </w:r>
      <w:r w:rsidR="00E93EC8" w:rsidRPr="00A738FD">
        <w:rPr>
          <w:sz w:val="22"/>
          <w:szCs w:val="22"/>
          <w:lang w:val="hr-HR"/>
        </w:rPr>
        <w:t xml:space="preserve">da su nabave u sklopu </w:t>
      </w:r>
      <w:r w:rsidR="000710D5" w:rsidRPr="00A738FD">
        <w:rPr>
          <w:sz w:val="22"/>
          <w:szCs w:val="22"/>
          <w:lang w:val="hr-HR"/>
        </w:rPr>
        <w:t xml:space="preserve">aktivnih </w:t>
      </w:r>
      <w:r w:rsidR="00E93EC8" w:rsidRPr="00A738FD">
        <w:rPr>
          <w:sz w:val="22"/>
          <w:szCs w:val="22"/>
          <w:lang w:val="hr-HR"/>
        </w:rPr>
        <w:t xml:space="preserve">EU projekata uglavnom realizirane u prethodnoj godini. </w:t>
      </w:r>
    </w:p>
    <w:p w14:paraId="4DFFFAA3" w14:textId="77777777" w:rsidR="00A543C2" w:rsidRPr="00A738FD" w:rsidRDefault="00A543C2" w:rsidP="003D1686">
      <w:pPr>
        <w:spacing w:before="240" w:after="0" w:line="360" w:lineRule="auto"/>
        <w:ind w:firstLine="0"/>
        <w:rPr>
          <w:sz w:val="22"/>
          <w:szCs w:val="22"/>
          <w:lang w:val="hr-HR"/>
        </w:rPr>
      </w:pPr>
    </w:p>
    <w:p w14:paraId="703F2B09" w14:textId="77777777" w:rsidR="00650D4E" w:rsidRPr="00A738FD" w:rsidRDefault="000339B8" w:rsidP="003D1686">
      <w:pPr>
        <w:numPr>
          <w:ilvl w:val="0"/>
          <w:numId w:val="25"/>
        </w:numPr>
        <w:spacing w:line="360" w:lineRule="auto"/>
        <w:rPr>
          <w:sz w:val="22"/>
          <w:szCs w:val="22"/>
          <w:lang w:val="hr-HR"/>
        </w:rPr>
      </w:pPr>
      <w:r w:rsidRPr="00A738FD">
        <w:rPr>
          <w:sz w:val="22"/>
          <w:szCs w:val="22"/>
          <w:lang w:val="hr-HR"/>
        </w:rPr>
        <w:t>Primici</w:t>
      </w:r>
      <w:r w:rsidR="00650D4E" w:rsidRPr="00A738FD">
        <w:rPr>
          <w:sz w:val="22"/>
          <w:szCs w:val="22"/>
          <w:lang w:val="hr-HR"/>
        </w:rPr>
        <w:t xml:space="preserve"> </w:t>
      </w:r>
      <w:r w:rsidR="00274D7A" w:rsidRPr="00A738FD">
        <w:rPr>
          <w:sz w:val="22"/>
          <w:szCs w:val="22"/>
          <w:lang w:val="hr-HR"/>
        </w:rPr>
        <w:t xml:space="preserve">od povrata </w:t>
      </w:r>
      <w:r w:rsidR="00650D4E" w:rsidRPr="00A738FD">
        <w:rPr>
          <w:sz w:val="22"/>
          <w:szCs w:val="22"/>
          <w:lang w:val="hr-HR"/>
        </w:rPr>
        <w:t>depozit</w:t>
      </w:r>
      <w:r w:rsidR="00F26369" w:rsidRPr="00A738FD">
        <w:rPr>
          <w:sz w:val="22"/>
          <w:szCs w:val="22"/>
          <w:lang w:val="hr-HR"/>
        </w:rPr>
        <w:t>a od</w:t>
      </w:r>
      <w:r w:rsidR="00650D4E" w:rsidRPr="00A738FD">
        <w:rPr>
          <w:sz w:val="22"/>
          <w:szCs w:val="22"/>
          <w:lang w:val="hr-HR"/>
        </w:rPr>
        <w:t xml:space="preserve"> kreditni</w:t>
      </w:r>
      <w:r w:rsidR="00F26369" w:rsidRPr="00A738FD">
        <w:rPr>
          <w:sz w:val="22"/>
          <w:szCs w:val="22"/>
          <w:lang w:val="hr-HR"/>
        </w:rPr>
        <w:t>h</w:t>
      </w:r>
      <w:r w:rsidR="00650D4E" w:rsidRPr="00A738FD">
        <w:rPr>
          <w:sz w:val="22"/>
          <w:szCs w:val="22"/>
          <w:lang w:val="hr-HR"/>
        </w:rPr>
        <w:t xml:space="preserve"> i ostali</w:t>
      </w:r>
      <w:r w:rsidR="00F26369" w:rsidRPr="00A738FD">
        <w:rPr>
          <w:sz w:val="22"/>
          <w:szCs w:val="22"/>
          <w:lang w:val="hr-HR"/>
        </w:rPr>
        <w:t>h</w:t>
      </w:r>
      <w:r w:rsidR="00650D4E" w:rsidRPr="00A738FD">
        <w:rPr>
          <w:sz w:val="22"/>
          <w:szCs w:val="22"/>
          <w:lang w:val="hr-HR"/>
        </w:rPr>
        <w:t xml:space="preserve"> tuzemni</w:t>
      </w:r>
      <w:r w:rsidR="00F26369" w:rsidRPr="00A738FD">
        <w:rPr>
          <w:sz w:val="22"/>
          <w:szCs w:val="22"/>
          <w:lang w:val="hr-HR"/>
        </w:rPr>
        <w:t>h</w:t>
      </w:r>
      <w:r w:rsidR="00650D4E" w:rsidRPr="00A738FD">
        <w:rPr>
          <w:sz w:val="22"/>
          <w:szCs w:val="22"/>
          <w:lang w:val="hr-HR"/>
        </w:rPr>
        <w:t xml:space="preserve"> financijski</w:t>
      </w:r>
      <w:r w:rsidR="00F26369" w:rsidRPr="00A738FD">
        <w:rPr>
          <w:sz w:val="22"/>
          <w:szCs w:val="22"/>
          <w:lang w:val="hr-HR"/>
        </w:rPr>
        <w:t>h</w:t>
      </w:r>
      <w:r w:rsidR="00650D4E" w:rsidRPr="00A738FD">
        <w:rPr>
          <w:sz w:val="22"/>
          <w:szCs w:val="22"/>
          <w:lang w:val="hr-HR"/>
        </w:rPr>
        <w:t xml:space="preserve"> institucija </w:t>
      </w:r>
      <w:r w:rsidRPr="00A738FD">
        <w:rPr>
          <w:sz w:val="22"/>
          <w:szCs w:val="22"/>
          <w:lang w:val="hr-HR"/>
        </w:rPr>
        <w:t xml:space="preserve">Obrazac: PR-RAS </w:t>
      </w:r>
      <w:r w:rsidR="00546DE5" w:rsidRPr="00A738FD">
        <w:rPr>
          <w:sz w:val="22"/>
          <w:szCs w:val="22"/>
          <w:lang w:val="hr-HR"/>
        </w:rPr>
        <w:t xml:space="preserve">u </w:t>
      </w:r>
      <w:r w:rsidR="00650D4E" w:rsidRPr="00A738FD">
        <w:rPr>
          <w:sz w:val="22"/>
          <w:szCs w:val="22"/>
          <w:lang w:val="hr-HR"/>
        </w:rPr>
        <w:t>iznos</w:t>
      </w:r>
      <w:r w:rsidR="00546DE5" w:rsidRPr="00A738FD">
        <w:rPr>
          <w:sz w:val="22"/>
          <w:szCs w:val="22"/>
          <w:lang w:val="hr-HR"/>
        </w:rPr>
        <w:t>u</w:t>
      </w:r>
      <w:r w:rsidR="00650D4E" w:rsidRPr="00A738FD">
        <w:rPr>
          <w:sz w:val="22"/>
          <w:szCs w:val="22"/>
          <w:lang w:val="hr-HR"/>
        </w:rPr>
        <w:t xml:space="preserve"> od </w:t>
      </w:r>
      <w:r w:rsidR="00A738FD" w:rsidRPr="00A738FD">
        <w:rPr>
          <w:sz w:val="22"/>
          <w:szCs w:val="22"/>
          <w:lang w:val="hr-HR"/>
        </w:rPr>
        <w:t>1.061.782,46 eura</w:t>
      </w:r>
      <w:r w:rsidR="00650D4E" w:rsidRPr="00A738FD">
        <w:rPr>
          <w:sz w:val="22"/>
          <w:szCs w:val="22"/>
          <w:lang w:val="hr-HR"/>
        </w:rPr>
        <w:t xml:space="preserve"> se odnosi na depozite sa </w:t>
      </w:r>
      <w:r w:rsidRPr="00A738FD">
        <w:rPr>
          <w:sz w:val="22"/>
          <w:szCs w:val="22"/>
          <w:lang w:val="hr-HR"/>
        </w:rPr>
        <w:t>pozicije 1211</w:t>
      </w:r>
      <w:r w:rsidR="00650D4E" w:rsidRPr="00A738FD">
        <w:rPr>
          <w:sz w:val="22"/>
          <w:szCs w:val="22"/>
          <w:lang w:val="hr-HR"/>
        </w:rPr>
        <w:t xml:space="preserve"> obrasca BILANCE. Naime, kako se radi o depozitima </w:t>
      </w:r>
      <w:r w:rsidR="009F5566" w:rsidRPr="00A738FD">
        <w:rPr>
          <w:sz w:val="22"/>
          <w:szCs w:val="22"/>
          <w:lang w:val="hr-HR"/>
        </w:rPr>
        <w:t xml:space="preserve">iz prethodne godine </w:t>
      </w:r>
      <w:r w:rsidR="00650D4E" w:rsidRPr="00A738FD">
        <w:rPr>
          <w:sz w:val="22"/>
          <w:szCs w:val="22"/>
          <w:lang w:val="hr-HR"/>
        </w:rPr>
        <w:t>koji s</w:t>
      </w:r>
      <w:r w:rsidR="009F5566" w:rsidRPr="00A738FD">
        <w:rPr>
          <w:sz w:val="22"/>
          <w:szCs w:val="22"/>
          <w:lang w:val="hr-HR"/>
        </w:rPr>
        <w:t>u</w:t>
      </w:r>
      <w:r w:rsidR="00650D4E" w:rsidRPr="00A738FD">
        <w:rPr>
          <w:sz w:val="22"/>
          <w:szCs w:val="22"/>
          <w:lang w:val="hr-HR"/>
        </w:rPr>
        <w:t xml:space="preserve"> vrać</w:t>
      </w:r>
      <w:r w:rsidR="009F5566" w:rsidRPr="00A738FD">
        <w:rPr>
          <w:sz w:val="22"/>
          <w:szCs w:val="22"/>
          <w:lang w:val="hr-HR"/>
        </w:rPr>
        <w:t>eni</w:t>
      </w:r>
      <w:r w:rsidR="00650D4E" w:rsidRPr="00A738FD">
        <w:rPr>
          <w:sz w:val="22"/>
          <w:szCs w:val="22"/>
          <w:lang w:val="hr-HR"/>
        </w:rPr>
        <w:t xml:space="preserve"> u </w:t>
      </w:r>
      <w:r w:rsidR="009F5566" w:rsidRPr="00A738FD">
        <w:rPr>
          <w:sz w:val="22"/>
          <w:szCs w:val="22"/>
          <w:lang w:val="hr-HR"/>
        </w:rPr>
        <w:t>tekuć</w:t>
      </w:r>
      <w:r w:rsidR="00650D4E" w:rsidRPr="00A738FD">
        <w:rPr>
          <w:sz w:val="22"/>
          <w:szCs w:val="22"/>
          <w:lang w:val="hr-HR"/>
        </w:rPr>
        <w:t xml:space="preserve">oj godini </w:t>
      </w:r>
      <w:proofErr w:type="spellStart"/>
      <w:r w:rsidR="00650D4E" w:rsidRPr="00A738FD">
        <w:rPr>
          <w:sz w:val="22"/>
          <w:szCs w:val="22"/>
          <w:lang w:val="hr-HR"/>
        </w:rPr>
        <w:t>postupano</w:t>
      </w:r>
      <w:proofErr w:type="spellEnd"/>
      <w:r w:rsidR="00650D4E" w:rsidRPr="00A738FD">
        <w:rPr>
          <w:sz w:val="22"/>
          <w:szCs w:val="22"/>
          <w:lang w:val="hr-HR"/>
        </w:rPr>
        <w:t xml:space="preserve"> je u skladu sa člankom 32. Pravilnika o proračunskom računovodstvu i računskom planu.</w:t>
      </w:r>
    </w:p>
    <w:p w14:paraId="4262E0B8" w14:textId="77777777" w:rsidR="000A4042" w:rsidRPr="00EF6335" w:rsidRDefault="000A4042" w:rsidP="003D1686">
      <w:pPr>
        <w:pStyle w:val="ListParagraph"/>
        <w:spacing w:before="240" w:after="0" w:line="360" w:lineRule="auto"/>
        <w:ind w:left="357" w:firstLine="0"/>
        <w:rPr>
          <w:sz w:val="22"/>
          <w:szCs w:val="22"/>
          <w:lang w:val="hr-HR"/>
        </w:rPr>
      </w:pPr>
    </w:p>
    <w:p w14:paraId="6653D4C6" w14:textId="77777777" w:rsidR="00211AEC" w:rsidRPr="00F11963" w:rsidRDefault="00914E9D" w:rsidP="00211AEC">
      <w:pPr>
        <w:numPr>
          <w:ilvl w:val="0"/>
          <w:numId w:val="25"/>
        </w:numPr>
        <w:spacing w:after="0" w:line="360" w:lineRule="auto"/>
        <w:rPr>
          <w:sz w:val="22"/>
          <w:szCs w:val="22"/>
          <w:lang w:val="hr-HR"/>
        </w:rPr>
      </w:pPr>
      <w:r w:rsidRPr="00F11963">
        <w:rPr>
          <w:sz w:val="22"/>
          <w:szCs w:val="22"/>
          <w:lang w:val="hr-HR"/>
        </w:rPr>
        <w:lastRenderedPageBreak/>
        <w:t>Višak</w:t>
      </w:r>
      <w:r w:rsidR="00BE5890" w:rsidRPr="00F11963">
        <w:rPr>
          <w:sz w:val="22"/>
          <w:szCs w:val="22"/>
          <w:lang w:val="hr-HR"/>
        </w:rPr>
        <w:t xml:space="preserve"> prihoda i primitaka</w:t>
      </w:r>
      <w:r w:rsidR="006323AB" w:rsidRPr="00F11963">
        <w:rPr>
          <w:sz w:val="22"/>
          <w:szCs w:val="22"/>
          <w:lang w:val="hr-HR"/>
        </w:rPr>
        <w:t xml:space="preserve"> </w:t>
      </w:r>
      <w:r w:rsidR="000A4595" w:rsidRPr="00F11963">
        <w:rPr>
          <w:sz w:val="22"/>
          <w:szCs w:val="22"/>
          <w:lang w:val="hr-HR"/>
        </w:rPr>
        <w:t xml:space="preserve">Obrazac: PR-RAS iskazan je </w:t>
      </w:r>
      <w:r w:rsidR="006323AB" w:rsidRPr="00F11963">
        <w:rPr>
          <w:sz w:val="22"/>
          <w:szCs w:val="22"/>
          <w:lang w:val="hr-HR"/>
        </w:rPr>
        <w:t xml:space="preserve">u iznosu od </w:t>
      </w:r>
      <w:r w:rsidRPr="00F11963">
        <w:rPr>
          <w:sz w:val="22"/>
          <w:szCs w:val="22"/>
          <w:lang w:val="hr-HR"/>
        </w:rPr>
        <w:t>569.315,89 eura</w:t>
      </w:r>
      <w:r w:rsidR="006323AB" w:rsidRPr="00F11963">
        <w:rPr>
          <w:sz w:val="22"/>
          <w:szCs w:val="22"/>
          <w:lang w:val="hr-HR"/>
        </w:rPr>
        <w:t xml:space="preserve">. Iz naših detaljnih analiza vidljivo je da je u bilanci </w:t>
      </w:r>
      <w:r w:rsidR="00A0306A" w:rsidRPr="00F11963">
        <w:rPr>
          <w:sz w:val="22"/>
          <w:szCs w:val="22"/>
          <w:lang w:val="hr-HR"/>
        </w:rPr>
        <w:t>znanosti</w:t>
      </w:r>
      <w:r w:rsidR="003C0165" w:rsidRPr="00F11963">
        <w:rPr>
          <w:sz w:val="22"/>
          <w:szCs w:val="22"/>
          <w:lang w:val="hr-HR"/>
        </w:rPr>
        <w:t xml:space="preserve"> i nacionalnog sufinanciranja </w:t>
      </w:r>
      <w:r w:rsidR="006323AB" w:rsidRPr="00F11963">
        <w:rPr>
          <w:sz w:val="22"/>
          <w:szCs w:val="22"/>
          <w:lang w:val="hr-HR"/>
        </w:rPr>
        <w:t xml:space="preserve"> ostvaren </w:t>
      </w:r>
      <w:r w:rsidRPr="00F11963">
        <w:rPr>
          <w:sz w:val="22"/>
          <w:szCs w:val="22"/>
          <w:lang w:val="hr-HR"/>
        </w:rPr>
        <w:t>manjak</w:t>
      </w:r>
      <w:r w:rsidR="006323AB" w:rsidRPr="00F11963">
        <w:rPr>
          <w:sz w:val="22"/>
          <w:szCs w:val="22"/>
          <w:lang w:val="hr-HR"/>
        </w:rPr>
        <w:t xml:space="preserve"> u iznosu od </w:t>
      </w:r>
      <w:r w:rsidR="00515C35" w:rsidRPr="00F11963">
        <w:rPr>
          <w:sz w:val="22"/>
          <w:szCs w:val="22"/>
          <w:lang w:val="hr-HR"/>
        </w:rPr>
        <w:t>102.907,37</w:t>
      </w:r>
      <w:r w:rsidRPr="00F11963">
        <w:rPr>
          <w:sz w:val="22"/>
          <w:szCs w:val="22"/>
          <w:lang w:val="hr-HR"/>
        </w:rPr>
        <w:t xml:space="preserve"> eura</w:t>
      </w:r>
      <w:r w:rsidR="00A67270" w:rsidRPr="00F11963">
        <w:rPr>
          <w:sz w:val="22"/>
          <w:szCs w:val="22"/>
          <w:lang w:val="hr-HR"/>
        </w:rPr>
        <w:t>,</w:t>
      </w:r>
      <w:r w:rsidR="00B07487" w:rsidRPr="00F11963">
        <w:rPr>
          <w:sz w:val="22"/>
          <w:szCs w:val="22"/>
          <w:lang w:val="hr-HR"/>
        </w:rPr>
        <w:t xml:space="preserve"> </w:t>
      </w:r>
      <w:r w:rsidR="00515C35" w:rsidRPr="00F11963">
        <w:rPr>
          <w:sz w:val="22"/>
          <w:szCs w:val="22"/>
          <w:lang w:val="hr-HR"/>
        </w:rPr>
        <w:t xml:space="preserve">koji je pokriven kumuliranim prenesenim sredstvima navedenog izvora, višak </w:t>
      </w:r>
      <w:r w:rsidR="00B07487" w:rsidRPr="00F11963">
        <w:rPr>
          <w:sz w:val="22"/>
          <w:szCs w:val="22"/>
          <w:lang w:val="hr-HR"/>
        </w:rPr>
        <w:t xml:space="preserve">u bilancama </w:t>
      </w:r>
      <w:r w:rsidR="00093218" w:rsidRPr="00F11963">
        <w:rPr>
          <w:sz w:val="22"/>
          <w:szCs w:val="22"/>
          <w:lang w:val="hr-HR"/>
        </w:rPr>
        <w:t>ostalih pomoći</w:t>
      </w:r>
      <w:r w:rsidR="00B07487" w:rsidRPr="00F11963">
        <w:rPr>
          <w:sz w:val="22"/>
          <w:szCs w:val="22"/>
          <w:lang w:val="hr-HR"/>
        </w:rPr>
        <w:t xml:space="preserve"> u iznosu od </w:t>
      </w:r>
      <w:r w:rsidR="00515C35" w:rsidRPr="00F11963">
        <w:rPr>
          <w:sz w:val="22"/>
          <w:szCs w:val="22"/>
          <w:lang w:val="hr-HR"/>
        </w:rPr>
        <w:t>111.188,51 eura,</w:t>
      </w:r>
      <w:r w:rsidR="001062A9" w:rsidRPr="00F11963">
        <w:rPr>
          <w:sz w:val="22"/>
          <w:szCs w:val="22"/>
          <w:lang w:val="hr-HR"/>
        </w:rPr>
        <w:t xml:space="preserve"> </w:t>
      </w:r>
      <w:r w:rsidR="00515C35" w:rsidRPr="00F11963">
        <w:rPr>
          <w:sz w:val="22"/>
          <w:szCs w:val="22"/>
          <w:lang w:val="hr-HR"/>
        </w:rPr>
        <w:t>višak</w:t>
      </w:r>
      <w:r w:rsidR="006323AB" w:rsidRPr="00F11963">
        <w:rPr>
          <w:sz w:val="22"/>
          <w:szCs w:val="22"/>
          <w:lang w:val="hr-HR"/>
        </w:rPr>
        <w:t xml:space="preserve"> u bilancama vlastite djelatnosti </w:t>
      </w:r>
      <w:r w:rsidR="00236F81" w:rsidRPr="00F11963">
        <w:rPr>
          <w:sz w:val="22"/>
          <w:szCs w:val="22"/>
          <w:lang w:val="hr-HR"/>
        </w:rPr>
        <w:t xml:space="preserve">i EU projekata (izvor 51) </w:t>
      </w:r>
      <w:r w:rsidR="006323AB" w:rsidRPr="00F11963">
        <w:rPr>
          <w:sz w:val="22"/>
          <w:szCs w:val="22"/>
          <w:lang w:val="hr-HR"/>
        </w:rPr>
        <w:t xml:space="preserve">u iznosu od </w:t>
      </w:r>
      <w:r w:rsidR="00515C35" w:rsidRPr="00F11963">
        <w:rPr>
          <w:sz w:val="22"/>
          <w:szCs w:val="22"/>
          <w:lang w:val="hr-HR"/>
        </w:rPr>
        <w:t>355.046,15 eura.</w:t>
      </w:r>
      <w:r w:rsidR="001062A9" w:rsidRPr="00F11963">
        <w:rPr>
          <w:sz w:val="22"/>
          <w:szCs w:val="22"/>
          <w:lang w:val="hr-HR"/>
        </w:rPr>
        <w:t xml:space="preserve"> Nadalje, bilježimo višak u bilancama sredstava posebne namjene u iznosu od </w:t>
      </w:r>
      <w:r w:rsidR="00515C35" w:rsidRPr="00F11963">
        <w:rPr>
          <w:sz w:val="22"/>
          <w:szCs w:val="22"/>
          <w:lang w:val="hr-HR"/>
        </w:rPr>
        <w:t>26.208,57 eura</w:t>
      </w:r>
      <w:r w:rsidR="001062A9" w:rsidRPr="00F11963">
        <w:rPr>
          <w:sz w:val="22"/>
          <w:szCs w:val="22"/>
          <w:lang w:val="hr-HR"/>
        </w:rPr>
        <w:t xml:space="preserve">, </w:t>
      </w:r>
      <w:r w:rsidR="00515C35" w:rsidRPr="00F11963">
        <w:rPr>
          <w:sz w:val="22"/>
          <w:szCs w:val="22"/>
          <w:lang w:val="hr-HR"/>
        </w:rPr>
        <w:t>manjak</w:t>
      </w:r>
      <w:r w:rsidR="00F168A8" w:rsidRPr="00F11963">
        <w:rPr>
          <w:sz w:val="22"/>
          <w:szCs w:val="22"/>
          <w:lang w:val="hr-HR"/>
        </w:rPr>
        <w:t xml:space="preserve"> u bilanc</w:t>
      </w:r>
      <w:r w:rsidR="00515C35" w:rsidRPr="00F11963">
        <w:rPr>
          <w:sz w:val="22"/>
          <w:szCs w:val="22"/>
          <w:lang w:val="hr-HR"/>
        </w:rPr>
        <w:t>i</w:t>
      </w:r>
      <w:r w:rsidR="001062A9" w:rsidRPr="00F11963">
        <w:rPr>
          <w:sz w:val="22"/>
          <w:szCs w:val="22"/>
          <w:lang w:val="hr-HR"/>
        </w:rPr>
        <w:t xml:space="preserve"> </w:t>
      </w:r>
      <w:r w:rsidR="00093218" w:rsidRPr="00F11963">
        <w:rPr>
          <w:sz w:val="22"/>
          <w:szCs w:val="22"/>
          <w:lang w:val="hr-HR"/>
        </w:rPr>
        <w:t>EU-socijalni fond</w:t>
      </w:r>
      <w:r w:rsidR="00F168A8" w:rsidRPr="00F11963">
        <w:rPr>
          <w:sz w:val="22"/>
          <w:szCs w:val="22"/>
          <w:lang w:val="hr-HR"/>
        </w:rPr>
        <w:t xml:space="preserve"> u iznosu od </w:t>
      </w:r>
      <w:r w:rsidR="00515C35" w:rsidRPr="00F11963">
        <w:rPr>
          <w:sz w:val="22"/>
          <w:szCs w:val="22"/>
          <w:lang w:val="hr-HR"/>
        </w:rPr>
        <w:t>18.137,28 eura, koji je također pokriven kumuliranim prenesenim sredstvima navedenog izvora</w:t>
      </w:r>
      <w:r w:rsidR="001062A9" w:rsidRPr="00F11963">
        <w:rPr>
          <w:sz w:val="22"/>
          <w:szCs w:val="22"/>
          <w:lang w:val="hr-HR"/>
        </w:rPr>
        <w:t xml:space="preserve"> i v</w:t>
      </w:r>
      <w:r w:rsidR="000A4595" w:rsidRPr="00F11963">
        <w:rPr>
          <w:sz w:val="22"/>
          <w:szCs w:val="22"/>
          <w:lang w:val="hr-HR"/>
        </w:rPr>
        <w:t>išak</w:t>
      </w:r>
      <w:r w:rsidR="00A745B1" w:rsidRPr="00F11963">
        <w:rPr>
          <w:sz w:val="22"/>
          <w:szCs w:val="22"/>
          <w:lang w:val="hr-HR"/>
        </w:rPr>
        <w:t xml:space="preserve"> u bilancama </w:t>
      </w:r>
      <w:r w:rsidR="00E84F1D" w:rsidRPr="00F11963">
        <w:rPr>
          <w:sz w:val="22"/>
          <w:szCs w:val="22"/>
          <w:lang w:val="hr-HR"/>
        </w:rPr>
        <w:t xml:space="preserve">redovne djelatnosti </w:t>
      </w:r>
      <w:r w:rsidR="00E3171F" w:rsidRPr="00F11963">
        <w:rPr>
          <w:sz w:val="22"/>
          <w:szCs w:val="22"/>
          <w:lang w:val="hr-HR"/>
        </w:rPr>
        <w:t xml:space="preserve">u iznosu od </w:t>
      </w:r>
      <w:r w:rsidR="00515C35" w:rsidRPr="00F11963">
        <w:rPr>
          <w:sz w:val="22"/>
          <w:szCs w:val="22"/>
          <w:lang w:val="hr-HR"/>
        </w:rPr>
        <w:t>2.409,87 eura</w:t>
      </w:r>
      <w:r w:rsidR="001062A9" w:rsidRPr="00F11963">
        <w:rPr>
          <w:sz w:val="22"/>
          <w:szCs w:val="22"/>
          <w:lang w:val="hr-HR"/>
        </w:rPr>
        <w:t>, a koji se odnosi</w:t>
      </w:r>
      <w:r w:rsidR="00E84F1D" w:rsidRPr="00F11963">
        <w:rPr>
          <w:sz w:val="22"/>
          <w:szCs w:val="22"/>
          <w:lang w:val="hr-HR"/>
        </w:rPr>
        <w:t xml:space="preserve"> na </w:t>
      </w:r>
      <w:r w:rsidR="00211AEC" w:rsidRPr="00F11963">
        <w:rPr>
          <w:sz w:val="22"/>
          <w:szCs w:val="22"/>
          <w:lang w:val="hr-HR"/>
        </w:rPr>
        <w:t xml:space="preserve">doznačena sredstva MZO-a za </w:t>
      </w:r>
      <w:r w:rsidR="00E84F1D" w:rsidRPr="00F11963">
        <w:rPr>
          <w:sz w:val="22"/>
          <w:szCs w:val="22"/>
          <w:lang w:val="hr-HR"/>
        </w:rPr>
        <w:t>isplaćene pravomoćne presude</w:t>
      </w:r>
      <w:r w:rsidR="00515C35" w:rsidRPr="00F11963">
        <w:rPr>
          <w:sz w:val="22"/>
          <w:szCs w:val="22"/>
          <w:lang w:val="hr-HR"/>
        </w:rPr>
        <w:t>.</w:t>
      </w:r>
      <w:r w:rsidR="001062A9" w:rsidRPr="00F11963">
        <w:rPr>
          <w:sz w:val="22"/>
          <w:szCs w:val="22"/>
          <w:lang w:val="hr-HR"/>
        </w:rPr>
        <w:t xml:space="preserve"> </w:t>
      </w:r>
      <w:r w:rsidR="00A54A60" w:rsidRPr="00F11963">
        <w:rPr>
          <w:sz w:val="22"/>
          <w:szCs w:val="22"/>
          <w:lang w:val="hr-HR"/>
        </w:rPr>
        <w:t xml:space="preserve">Ujedno </w:t>
      </w:r>
      <w:r w:rsidR="00751AEB" w:rsidRPr="00F11963">
        <w:rPr>
          <w:sz w:val="22"/>
          <w:szCs w:val="22"/>
          <w:lang w:val="hr-HR"/>
        </w:rPr>
        <w:t>je</w:t>
      </w:r>
      <w:r w:rsidR="00A54A60" w:rsidRPr="00F11963">
        <w:rPr>
          <w:sz w:val="22"/>
          <w:szCs w:val="22"/>
          <w:lang w:val="hr-HR"/>
        </w:rPr>
        <w:t xml:space="preserve"> prikazan </w:t>
      </w:r>
      <w:r w:rsidR="00A745B1" w:rsidRPr="00F11963">
        <w:rPr>
          <w:sz w:val="22"/>
          <w:szCs w:val="22"/>
          <w:lang w:val="hr-HR"/>
        </w:rPr>
        <w:t>i</w:t>
      </w:r>
      <w:r w:rsidR="001C22F1" w:rsidRPr="00F11963">
        <w:rPr>
          <w:sz w:val="22"/>
          <w:szCs w:val="22"/>
          <w:lang w:val="hr-HR"/>
        </w:rPr>
        <w:t xml:space="preserve"> manjak</w:t>
      </w:r>
      <w:r w:rsidR="00A54A60" w:rsidRPr="00F11963">
        <w:rPr>
          <w:sz w:val="22"/>
          <w:szCs w:val="22"/>
          <w:lang w:val="hr-HR"/>
        </w:rPr>
        <w:t xml:space="preserve"> u bilanc</w:t>
      </w:r>
      <w:r w:rsidR="00E84F1D" w:rsidRPr="00F11963">
        <w:rPr>
          <w:sz w:val="22"/>
          <w:szCs w:val="22"/>
          <w:lang w:val="hr-HR"/>
        </w:rPr>
        <w:t>ama</w:t>
      </w:r>
      <w:r w:rsidR="00A54A60" w:rsidRPr="00F11963">
        <w:rPr>
          <w:sz w:val="22"/>
          <w:szCs w:val="22"/>
          <w:lang w:val="hr-HR"/>
        </w:rPr>
        <w:t xml:space="preserve"> EU projekata iz fonda regionalnog razvoja</w:t>
      </w:r>
      <w:r w:rsidR="00211AEC" w:rsidRPr="00F11963">
        <w:rPr>
          <w:sz w:val="22"/>
          <w:szCs w:val="22"/>
          <w:lang w:val="hr-HR"/>
        </w:rPr>
        <w:t xml:space="preserve"> u iznosu od </w:t>
      </w:r>
      <w:r w:rsidR="002363A8" w:rsidRPr="00F11963">
        <w:rPr>
          <w:sz w:val="22"/>
          <w:szCs w:val="22"/>
          <w:lang w:val="hr-HR"/>
        </w:rPr>
        <w:t>109.994,37</w:t>
      </w:r>
      <w:r w:rsidR="00211AEC" w:rsidRPr="00F11963">
        <w:rPr>
          <w:sz w:val="22"/>
          <w:szCs w:val="22"/>
          <w:lang w:val="hr-HR"/>
        </w:rPr>
        <w:t xml:space="preserve"> </w:t>
      </w:r>
      <w:r w:rsidR="002363A8" w:rsidRPr="00F11963">
        <w:rPr>
          <w:sz w:val="22"/>
          <w:szCs w:val="22"/>
          <w:lang w:val="hr-HR"/>
        </w:rPr>
        <w:t>eura,</w:t>
      </w:r>
      <w:r w:rsidR="00211AEC" w:rsidRPr="00F11963">
        <w:rPr>
          <w:sz w:val="22"/>
          <w:szCs w:val="22"/>
          <w:lang w:val="hr-HR"/>
        </w:rPr>
        <w:t xml:space="preserve"> </w:t>
      </w:r>
      <w:r w:rsidR="001062A9" w:rsidRPr="00F11963">
        <w:rPr>
          <w:sz w:val="22"/>
          <w:szCs w:val="22"/>
          <w:lang w:val="hr-HR"/>
        </w:rPr>
        <w:t xml:space="preserve">koji </w:t>
      </w:r>
      <w:r w:rsidR="002363A8" w:rsidRPr="00F11963">
        <w:rPr>
          <w:sz w:val="22"/>
          <w:szCs w:val="22"/>
          <w:lang w:val="hr-HR"/>
        </w:rPr>
        <w:t>će biti pokriven po isplati završnih ZNS-ova u 2024. godini</w:t>
      </w:r>
      <w:r w:rsidR="00EC691E" w:rsidRPr="00F11963">
        <w:rPr>
          <w:sz w:val="22"/>
          <w:szCs w:val="22"/>
          <w:lang w:val="hr-HR"/>
        </w:rPr>
        <w:t xml:space="preserve">, te </w:t>
      </w:r>
      <w:r w:rsidR="002363A8" w:rsidRPr="00F11963">
        <w:rPr>
          <w:sz w:val="22"/>
          <w:szCs w:val="22"/>
          <w:lang w:val="hr-HR"/>
        </w:rPr>
        <w:t>višak</w:t>
      </w:r>
      <w:r w:rsidR="00211AEC" w:rsidRPr="00F11963">
        <w:rPr>
          <w:sz w:val="22"/>
          <w:szCs w:val="22"/>
          <w:lang w:val="hr-HR"/>
        </w:rPr>
        <w:t xml:space="preserve"> u bilancama</w:t>
      </w:r>
      <w:r w:rsidR="00A745B1" w:rsidRPr="00F11963">
        <w:rPr>
          <w:sz w:val="22"/>
          <w:szCs w:val="22"/>
          <w:lang w:val="hr-HR"/>
        </w:rPr>
        <w:t xml:space="preserve"> </w:t>
      </w:r>
      <w:r w:rsidR="00E84F1D" w:rsidRPr="00F11963">
        <w:rPr>
          <w:sz w:val="22"/>
          <w:szCs w:val="22"/>
          <w:lang w:val="hr-HR"/>
        </w:rPr>
        <w:t>donacija</w:t>
      </w:r>
      <w:r w:rsidR="00A745B1" w:rsidRPr="00F11963">
        <w:rPr>
          <w:sz w:val="22"/>
          <w:szCs w:val="22"/>
          <w:lang w:val="hr-HR"/>
        </w:rPr>
        <w:t xml:space="preserve"> </w:t>
      </w:r>
      <w:r w:rsidR="00A54A60" w:rsidRPr="00F11963">
        <w:rPr>
          <w:sz w:val="22"/>
          <w:szCs w:val="22"/>
          <w:lang w:val="hr-HR"/>
        </w:rPr>
        <w:t xml:space="preserve">u iznosu od </w:t>
      </w:r>
      <w:r w:rsidR="002363A8" w:rsidRPr="00F11963">
        <w:rPr>
          <w:sz w:val="22"/>
          <w:szCs w:val="22"/>
          <w:lang w:val="hr-HR"/>
        </w:rPr>
        <w:t>305.501,81 eura</w:t>
      </w:r>
      <w:r w:rsidR="00996B57" w:rsidRPr="00F11963">
        <w:rPr>
          <w:sz w:val="22"/>
          <w:szCs w:val="22"/>
          <w:lang w:val="hr-HR"/>
        </w:rPr>
        <w:t xml:space="preserve"> koji je rezultat doznake novčanih sredstava po odobrenom ZNS-u uslijed završenog</w:t>
      </w:r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predstečanog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postupka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nad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DIV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Grupom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d.o.o.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koja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je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nositelji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projek</w:t>
      </w:r>
      <w:r w:rsidR="00996B57" w:rsidRPr="00F11963">
        <w:rPr>
          <w:rFonts w:eastAsiaTheme="minorHAnsi"/>
          <w:iCs/>
          <w:sz w:val="22"/>
          <w:szCs w:val="22"/>
          <w:lang w:eastAsia="en-US"/>
        </w:rPr>
        <w:t>a</w:t>
      </w:r>
      <w:r w:rsidR="00211AEC" w:rsidRPr="00F11963">
        <w:rPr>
          <w:rFonts w:eastAsiaTheme="minorHAnsi"/>
          <w:iCs/>
          <w:sz w:val="22"/>
          <w:szCs w:val="22"/>
          <w:lang w:eastAsia="en-US"/>
        </w:rPr>
        <w:t>ta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„CEKOM -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Centar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kompetencija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za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naprednu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proofErr w:type="gramStart"/>
      <w:r w:rsidR="00211AEC" w:rsidRPr="00F11963">
        <w:rPr>
          <w:rFonts w:eastAsiaTheme="minorHAnsi"/>
          <w:iCs/>
          <w:sz w:val="22"/>
          <w:szCs w:val="22"/>
          <w:lang w:eastAsia="en-US"/>
        </w:rPr>
        <w:t>mobilnost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>“</w:t>
      </w:r>
      <w:proofErr w:type="gramEnd"/>
      <w:r w:rsidR="00996B57" w:rsidRPr="00F11963">
        <w:rPr>
          <w:rFonts w:eastAsiaTheme="minorHAnsi"/>
          <w:iCs/>
          <w:sz w:val="22"/>
          <w:szCs w:val="22"/>
          <w:lang w:eastAsia="en-US"/>
        </w:rPr>
        <w:t xml:space="preserve">, a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na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kojima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je </w:t>
      </w:r>
      <w:proofErr w:type="spellStart"/>
      <w:r w:rsidR="00211AEC" w:rsidRPr="00F11963">
        <w:rPr>
          <w:rFonts w:eastAsiaTheme="minorHAnsi"/>
          <w:iCs/>
          <w:sz w:val="22"/>
          <w:szCs w:val="22"/>
          <w:lang w:eastAsia="en-US"/>
        </w:rPr>
        <w:t>fakultet</w:t>
      </w:r>
      <w:proofErr w:type="spellEnd"/>
      <w:r w:rsidR="00211AEC" w:rsidRPr="00F11963">
        <w:rPr>
          <w:rFonts w:eastAsiaTheme="minorHAnsi"/>
          <w:iCs/>
          <w:sz w:val="22"/>
          <w:szCs w:val="22"/>
          <w:lang w:eastAsia="en-US"/>
        </w:rPr>
        <w:t xml:space="preserve"> partner.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Ovim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sredstvima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pokriven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je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dio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kumuliranog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manjka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na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bilancama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donacija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na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dan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bilanciranja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iznosi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680.383,22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eura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.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Navedeni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kumulirani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manjak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biti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će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pokriven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u 2024.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godini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budući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da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su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u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prosincu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2023.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godine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sve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aktivnosti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na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projektima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 </w:t>
      </w:r>
      <w:proofErr w:type="spellStart"/>
      <w:r w:rsidR="005E30FF" w:rsidRPr="00F11963">
        <w:rPr>
          <w:rFonts w:eastAsiaTheme="minorHAnsi"/>
          <w:iCs/>
          <w:sz w:val="22"/>
          <w:szCs w:val="22"/>
          <w:lang w:eastAsia="en-US"/>
        </w:rPr>
        <w:t>okončane</w:t>
      </w:r>
      <w:proofErr w:type="spellEnd"/>
      <w:r w:rsidR="005E30FF" w:rsidRPr="00F11963">
        <w:rPr>
          <w:rFonts w:eastAsiaTheme="minorHAnsi"/>
          <w:iCs/>
          <w:sz w:val="22"/>
          <w:szCs w:val="22"/>
          <w:lang w:eastAsia="en-US"/>
        </w:rPr>
        <w:t xml:space="preserve">. </w:t>
      </w:r>
    </w:p>
    <w:p w14:paraId="39169948" w14:textId="77777777" w:rsidR="00A54A60" w:rsidRPr="00F11963" w:rsidRDefault="00A54A60" w:rsidP="003D1686">
      <w:pPr>
        <w:spacing w:after="0" w:line="360" w:lineRule="auto"/>
        <w:ind w:left="0" w:firstLine="0"/>
        <w:rPr>
          <w:sz w:val="22"/>
          <w:szCs w:val="22"/>
          <w:lang w:val="hr-HR"/>
        </w:rPr>
      </w:pPr>
    </w:p>
    <w:p w14:paraId="33032178" w14:textId="77777777" w:rsidR="00375751" w:rsidRPr="00F11963" w:rsidRDefault="00571B4D" w:rsidP="00FF15BE">
      <w:pPr>
        <w:pStyle w:val="ListParagraph"/>
        <w:numPr>
          <w:ilvl w:val="0"/>
          <w:numId w:val="25"/>
        </w:numPr>
        <w:tabs>
          <w:tab w:val="clear" w:pos="360"/>
          <w:tab w:val="left" w:pos="284"/>
          <w:tab w:val="left" w:pos="1620"/>
        </w:tabs>
        <w:spacing w:line="360" w:lineRule="auto"/>
        <w:ind w:left="284" w:hanging="426"/>
        <w:rPr>
          <w:sz w:val="22"/>
          <w:szCs w:val="22"/>
        </w:rPr>
      </w:pPr>
      <w:r w:rsidRPr="00F11963">
        <w:rPr>
          <w:sz w:val="22"/>
          <w:szCs w:val="22"/>
          <w:lang w:val="hr-HR"/>
        </w:rPr>
        <w:t xml:space="preserve">Promjena u obujmu </w:t>
      </w:r>
      <w:r w:rsidR="00FA4FFA" w:rsidRPr="00F11963">
        <w:rPr>
          <w:sz w:val="22"/>
          <w:szCs w:val="22"/>
          <w:lang w:val="hr-HR"/>
        </w:rPr>
        <w:t xml:space="preserve">nefinancijske </w:t>
      </w:r>
      <w:r w:rsidRPr="00F11963">
        <w:rPr>
          <w:sz w:val="22"/>
          <w:szCs w:val="22"/>
          <w:lang w:val="hr-HR"/>
        </w:rPr>
        <w:t xml:space="preserve">imovine </w:t>
      </w:r>
      <w:r w:rsidR="00FA4FFA" w:rsidRPr="00F11963">
        <w:rPr>
          <w:sz w:val="22"/>
          <w:szCs w:val="22"/>
          <w:lang w:val="hr-HR"/>
        </w:rPr>
        <w:t xml:space="preserve">Obrazac: P-VRIO  bilježi i uvećanje i umanjenje. </w:t>
      </w:r>
      <w:r w:rsidR="0019395A" w:rsidRPr="00F11963">
        <w:rPr>
          <w:sz w:val="22"/>
          <w:szCs w:val="22"/>
          <w:lang w:val="hr-HR"/>
        </w:rPr>
        <w:t xml:space="preserve">   </w:t>
      </w:r>
      <w:proofErr w:type="spellStart"/>
      <w:r w:rsidR="00FA4FFA" w:rsidRPr="00F11963">
        <w:rPr>
          <w:sz w:val="22"/>
          <w:szCs w:val="22"/>
        </w:rPr>
        <w:t>U</w:t>
      </w:r>
      <w:r w:rsidR="006A01B4" w:rsidRPr="00F11963">
        <w:rPr>
          <w:sz w:val="22"/>
          <w:szCs w:val="22"/>
        </w:rPr>
        <w:t>manjenje</w:t>
      </w:r>
      <w:proofErr w:type="spellEnd"/>
      <w:r w:rsidR="006A01B4" w:rsidRPr="00F11963">
        <w:rPr>
          <w:sz w:val="22"/>
          <w:szCs w:val="22"/>
        </w:rPr>
        <w:t xml:space="preserve"> od </w:t>
      </w:r>
      <w:r w:rsidR="00D11F05" w:rsidRPr="00F11963">
        <w:rPr>
          <w:sz w:val="22"/>
          <w:szCs w:val="22"/>
        </w:rPr>
        <w:t xml:space="preserve">2.326,70 </w:t>
      </w:r>
      <w:proofErr w:type="spellStart"/>
      <w:r w:rsidR="00193515" w:rsidRPr="00F11963">
        <w:rPr>
          <w:sz w:val="22"/>
          <w:szCs w:val="22"/>
        </w:rPr>
        <w:t>eura</w:t>
      </w:r>
      <w:proofErr w:type="spellEnd"/>
      <w:r w:rsidR="00FA4FFA" w:rsidRPr="00F11963">
        <w:rPr>
          <w:sz w:val="22"/>
          <w:szCs w:val="22"/>
        </w:rPr>
        <w:t xml:space="preserve"> </w:t>
      </w:r>
      <w:r w:rsidR="006A01B4" w:rsidRPr="00F11963">
        <w:rPr>
          <w:sz w:val="22"/>
          <w:szCs w:val="22"/>
        </w:rPr>
        <w:t xml:space="preserve">se </w:t>
      </w:r>
      <w:proofErr w:type="spellStart"/>
      <w:r w:rsidR="006A01B4" w:rsidRPr="00F11963">
        <w:rPr>
          <w:sz w:val="22"/>
          <w:szCs w:val="22"/>
        </w:rPr>
        <w:t>odnosi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na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donacije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računala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temeljem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Ugovora</w:t>
      </w:r>
      <w:proofErr w:type="spellEnd"/>
      <w:r w:rsidR="006A01B4" w:rsidRPr="00F11963">
        <w:rPr>
          <w:sz w:val="22"/>
          <w:szCs w:val="22"/>
        </w:rPr>
        <w:t xml:space="preserve"> o </w:t>
      </w:r>
      <w:proofErr w:type="spellStart"/>
      <w:proofErr w:type="gramStart"/>
      <w:r w:rsidR="006A01B4" w:rsidRPr="00F11963">
        <w:rPr>
          <w:sz w:val="22"/>
          <w:szCs w:val="22"/>
        </w:rPr>
        <w:t>donaciji</w:t>
      </w:r>
      <w:proofErr w:type="spellEnd"/>
      <w:r w:rsidR="006A01B4" w:rsidRPr="00F11963">
        <w:rPr>
          <w:sz w:val="22"/>
          <w:szCs w:val="22"/>
        </w:rPr>
        <w:t xml:space="preserve">  </w:t>
      </w:r>
      <w:proofErr w:type="spellStart"/>
      <w:r w:rsidR="006A01B4" w:rsidRPr="00F11963">
        <w:rPr>
          <w:sz w:val="22"/>
          <w:szCs w:val="22"/>
        </w:rPr>
        <w:t>Elektrotehničko</w:t>
      </w:r>
      <w:r w:rsidR="00193515" w:rsidRPr="00F11963">
        <w:rPr>
          <w:sz w:val="22"/>
          <w:szCs w:val="22"/>
        </w:rPr>
        <w:t>j</w:t>
      </w:r>
      <w:proofErr w:type="spellEnd"/>
      <w:proofErr w:type="gramEnd"/>
      <w:r w:rsidR="00193515" w:rsidRPr="00F11963">
        <w:rPr>
          <w:sz w:val="22"/>
          <w:szCs w:val="22"/>
        </w:rPr>
        <w:t xml:space="preserve"> </w:t>
      </w:r>
      <w:proofErr w:type="spellStart"/>
      <w:r w:rsidR="00193515" w:rsidRPr="00F11963">
        <w:rPr>
          <w:sz w:val="22"/>
          <w:szCs w:val="22"/>
        </w:rPr>
        <w:t>školi</w:t>
      </w:r>
      <w:proofErr w:type="spellEnd"/>
      <w:r w:rsidR="00193515" w:rsidRPr="00F11963">
        <w:rPr>
          <w:sz w:val="22"/>
          <w:szCs w:val="22"/>
        </w:rPr>
        <w:t xml:space="preserve"> Split </w:t>
      </w:r>
      <w:proofErr w:type="spellStart"/>
      <w:r w:rsidR="00193515" w:rsidRPr="00F11963">
        <w:rPr>
          <w:sz w:val="22"/>
          <w:szCs w:val="22"/>
        </w:rPr>
        <w:t>i</w:t>
      </w:r>
      <w:proofErr w:type="spellEnd"/>
      <w:r w:rsidR="00193515" w:rsidRPr="00F11963">
        <w:rPr>
          <w:sz w:val="22"/>
          <w:szCs w:val="22"/>
        </w:rPr>
        <w:t xml:space="preserve"> III. </w:t>
      </w:r>
      <w:proofErr w:type="spellStart"/>
      <w:r w:rsidR="00193515" w:rsidRPr="00F11963">
        <w:rPr>
          <w:sz w:val="22"/>
          <w:szCs w:val="22"/>
        </w:rPr>
        <w:t>gimnaziji</w:t>
      </w:r>
      <w:proofErr w:type="spellEnd"/>
      <w:r w:rsidR="00193515" w:rsidRPr="00F11963">
        <w:rPr>
          <w:sz w:val="22"/>
          <w:szCs w:val="22"/>
        </w:rPr>
        <w:t xml:space="preserve"> </w:t>
      </w:r>
      <w:r w:rsidR="006A01B4" w:rsidRPr="00F11963">
        <w:rPr>
          <w:sz w:val="22"/>
          <w:szCs w:val="22"/>
        </w:rPr>
        <w:t xml:space="preserve">za </w:t>
      </w:r>
      <w:proofErr w:type="spellStart"/>
      <w:r w:rsidR="006A01B4" w:rsidRPr="00F11963">
        <w:rPr>
          <w:sz w:val="22"/>
          <w:szCs w:val="22"/>
        </w:rPr>
        <w:t>potrebe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provedbe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organizacije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lutrije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na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maturalnoj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svečanosti</w:t>
      </w:r>
      <w:proofErr w:type="spellEnd"/>
      <w:r w:rsidR="00D11F05" w:rsidRPr="00F11963">
        <w:rPr>
          <w:sz w:val="22"/>
          <w:szCs w:val="22"/>
        </w:rPr>
        <w:t xml:space="preserve"> u </w:t>
      </w:r>
      <w:proofErr w:type="spellStart"/>
      <w:r w:rsidR="00D11F05" w:rsidRPr="00F11963">
        <w:rPr>
          <w:sz w:val="22"/>
          <w:szCs w:val="22"/>
        </w:rPr>
        <w:t>iznosu</w:t>
      </w:r>
      <w:proofErr w:type="spellEnd"/>
      <w:r w:rsidR="00D11F05" w:rsidRPr="00F11963">
        <w:rPr>
          <w:sz w:val="22"/>
          <w:szCs w:val="22"/>
        </w:rPr>
        <w:t xml:space="preserve"> od 1.501,43 </w:t>
      </w:r>
      <w:proofErr w:type="spellStart"/>
      <w:r w:rsidR="00D11F05" w:rsidRPr="00F11963">
        <w:rPr>
          <w:sz w:val="22"/>
          <w:szCs w:val="22"/>
        </w:rPr>
        <w:t>eura</w:t>
      </w:r>
      <w:proofErr w:type="spellEnd"/>
      <w:r w:rsidR="00D11F05" w:rsidRPr="00F11963">
        <w:rPr>
          <w:sz w:val="22"/>
          <w:szCs w:val="22"/>
        </w:rPr>
        <w:t xml:space="preserve"> </w:t>
      </w:r>
      <w:proofErr w:type="spellStart"/>
      <w:r w:rsidR="00D11F05" w:rsidRPr="00F11963">
        <w:rPr>
          <w:sz w:val="22"/>
          <w:szCs w:val="22"/>
        </w:rPr>
        <w:t>i</w:t>
      </w:r>
      <w:proofErr w:type="spellEnd"/>
      <w:r w:rsidR="00D11F05" w:rsidRPr="00F11963">
        <w:rPr>
          <w:sz w:val="22"/>
          <w:szCs w:val="22"/>
        </w:rPr>
        <w:t xml:space="preserve"> </w:t>
      </w:r>
      <w:proofErr w:type="spellStart"/>
      <w:r w:rsidR="00D11F05" w:rsidRPr="00F11963">
        <w:rPr>
          <w:sz w:val="22"/>
          <w:szCs w:val="22"/>
        </w:rPr>
        <w:t>prodaji</w:t>
      </w:r>
      <w:proofErr w:type="spellEnd"/>
      <w:r w:rsidR="00D11F05" w:rsidRPr="00F11963">
        <w:rPr>
          <w:sz w:val="22"/>
          <w:szCs w:val="22"/>
        </w:rPr>
        <w:t xml:space="preserve"> </w:t>
      </w:r>
      <w:proofErr w:type="spellStart"/>
      <w:r w:rsidR="00D11F05" w:rsidRPr="00F11963">
        <w:rPr>
          <w:sz w:val="22"/>
          <w:szCs w:val="22"/>
        </w:rPr>
        <w:t>kompresora</w:t>
      </w:r>
      <w:proofErr w:type="spellEnd"/>
      <w:r w:rsidR="00D11F05" w:rsidRPr="00F11963">
        <w:rPr>
          <w:sz w:val="22"/>
          <w:szCs w:val="22"/>
        </w:rPr>
        <w:t xml:space="preserve"> u </w:t>
      </w:r>
      <w:proofErr w:type="spellStart"/>
      <w:r w:rsidR="00D11F05" w:rsidRPr="00F11963">
        <w:rPr>
          <w:sz w:val="22"/>
          <w:szCs w:val="22"/>
        </w:rPr>
        <w:t>iznosu</w:t>
      </w:r>
      <w:proofErr w:type="spellEnd"/>
      <w:r w:rsidR="00D11F05" w:rsidRPr="00F11963">
        <w:rPr>
          <w:sz w:val="22"/>
          <w:szCs w:val="22"/>
        </w:rPr>
        <w:t xml:space="preserve"> od 825,27 </w:t>
      </w:r>
      <w:proofErr w:type="spellStart"/>
      <w:r w:rsidR="00D11F05" w:rsidRPr="00F11963">
        <w:rPr>
          <w:sz w:val="22"/>
          <w:szCs w:val="22"/>
        </w:rPr>
        <w:t>eura</w:t>
      </w:r>
      <w:proofErr w:type="spellEnd"/>
      <w:r w:rsidR="00D11F05" w:rsidRPr="00F11963">
        <w:rPr>
          <w:sz w:val="22"/>
          <w:szCs w:val="22"/>
        </w:rPr>
        <w:t xml:space="preserve"> </w:t>
      </w:r>
      <w:proofErr w:type="spellStart"/>
      <w:r w:rsidR="00D11F05" w:rsidRPr="00F11963">
        <w:rPr>
          <w:sz w:val="22"/>
          <w:szCs w:val="22"/>
        </w:rPr>
        <w:t>tvrtci</w:t>
      </w:r>
      <w:proofErr w:type="spellEnd"/>
      <w:r w:rsidR="00D11F05" w:rsidRPr="00F11963">
        <w:rPr>
          <w:sz w:val="22"/>
          <w:szCs w:val="22"/>
        </w:rPr>
        <w:t xml:space="preserve"> IRI d.o.o.</w:t>
      </w:r>
      <w:r w:rsidR="00FA4FFA" w:rsidRPr="00F11963">
        <w:rPr>
          <w:sz w:val="22"/>
          <w:szCs w:val="22"/>
        </w:rPr>
        <w:t xml:space="preserve"> </w:t>
      </w:r>
      <w:proofErr w:type="spellStart"/>
      <w:r w:rsidR="00FA4FFA" w:rsidRPr="00F11963">
        <w:rPr>
          <w:sz w:val="22"/>
          <w:szCs w:val="22"/>
        </w:rPr>
        <w:t>U</w:t>
      </w:r>
      <w:r w:rsidR="006A01B4" w:rsidRPr="00F11963">
        <w:rPr>
          <w:sz w:val="22"/>
          <w:szCs w:val="22"/>
        </w:rPr>
        <w:t>većanje</w:t>
      </w:r>
      <w:proofErr w:type="spellEnd"/>
      <w:r w:rsidR="006A01B4" w:rsidRPr="00F11963">
        <w:rPr>
          <w:sz w:val="22"/>
          <w:szCs w:val="22"/>
        </w:rPr>
        <w:t xml:space="preserve"> od </w:t>
      </w:r>
      <w:r w:rsidR="00193515" w:rsidRPr="00F11963">
        <w:rPr>
          <w:sz w:val="22"/>
          <w:szCs w:val="22"/>
        </w:rPr>
        <w:t xml:space="preserve">13.101,86 </w:t>
      </w:r>
      <w:proofErr w:type="spellStart"/>
      <w:r w:rsidR="00193515" w:rsidRPr="00F11963">
        <w:rPr>
          <w:sz w:val="22"/>
          <w:szCs w:val="22"/>
        </w:rPr>
        <w:t>eura</w:t>
      </w:r>
      <w:proofErr w:type="spellEnd"/>
      <w:r w:rsidR="006A01B4" w:rsidRPr="00F11963">
        <w:rPr>
          <w:sz w:val="22"/>
          <w:szCs w:val="22"/>
        </w:rPr>
        <w:t xml:space="preserve"> se </w:t>
      </w:r>
      <w:proofErr w:type="spellStart"/>
      <w:r w:rsidR="006A01B4" w:rsidRPr="00F11963">
        <w:rPr>
          <w:sz w:val="22"/>
          <w:szCs w:val="22"/>
        </w:rPr>
        <w:t>odnosi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na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donaciju</w:t>
      </w:r>
      <w:proofErr w:type="spellEnd"/>
      <w:r w:rsidR="006A01B4" w:rsidRPr="00F11963">
        <w:rPr>
          <w:sz w:val="22"/>
          <w:szCs w:val="22"/>
        </w:rPr>
        <w:t xml:space="preserve"> </w:t>
      </w:r>
      <w:r w:rsidR="00193515" w:rsidRPr="00F11963">
        <w:rPr>
          <w:sz w:val="22"/>
          <w:szCs w:val="22"/>
        </w:rPr>
        <w:t xml:space="preserve">FPGA </w:t>
      </w:r>
      <w:proofErr w:type="spellStart"/>
      <w:r w:rsidR="00193515" w:rsidRPr="00F11963">
        <w:rPr>
          <w:sz w:val="22"/>
          <w:szCs w:val="22"/>
        </w:rPr>
        <w:t>sustava</w:t>
      </w:r>
      <w:proofErr w:type="spellEnd"/>
      <w:r w:rsidR="00193515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i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donaciju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knjiga</w:t>
      </w:r>
      <w:proofErr w:type="spellEnd"/>
      <w:r w:rsidR="00B754F2" w:rsidRPr="00F11963">
        <w:rPr>
          <w:sz w:val="22"/>
          <w:szCs w:val="22"/>
        </w:rPr>
        <w:t xml:space="preserve">. </w:t>
      </w:r>
      <w:proofErr w:type="spellStart"/>
      <w:r w:rsidR="00B754F2" w:rsidRPr="00F11963">
        <w:rPr>
          <w:sz w:val="22"/>
          <w:szCs w:val="22"/>
        </w:rPr>
        <w:t>Navedeni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sustav</w:t>
      </w:r>
      <w:proofErr w:type="spellEnd"/>
      <w:r w:rsidR="00B754F2" w:rsidRPr="00F11963">
        <w:rPr>
          <w:sz w:val="22"/>
          <w:szCs w:val="22"/>
        </w:rPr>
        <w:t xml:space="preserve"> </w:t>
      </w:r>
      <w:r w:rsidR="00193515" w:rsidRPr="00F11963">
        <w:rPr>
          <w:sz w:val="22"/>
          <w:szCs w:val="22"/>
        </w:rPr>
        <w:t xml:space="preserve">za </w:t>
      </w:r>
      <w:proofErr w:type="spellStart"/>
      <w:r w:rsidR="00193515" w:rsidRPr="00F11963">
        <w:rPr>
          <w:sz w:val="22"/>
          <w:szCs w:val="22"/>
        </w:rPr>
        <w:t>razvoj</w:t>
      </w:r>
      <w:proofErr w:type="spellEnd"/>
      <w:r w:rsidR="00193515" w:rsidRPr="00F11963">
        <w:rPr>
          <w:sz w:val="22"/>
          <w:szCs w:val="22"/>
        </w:rPr>
        <w:t xml:space="preserve"> </w:t>
      </w:r>
      <w:proofErr w:type="spellStart"/>
      <w:r w:rsidR="00193515" w:rsidRPr="00F11963">
        <w:rPr>
          <w:sz w:val="22"/>
          <w:szCs w:val="22"/>
        </w:rPr>
        <w:t>programske</w:t>
      </w:r>
      <w:proofErr w:type="spellEnd"/>
      <w:r w:rsidR="00193515" w:rsidRPr="00F11963">
        <w:rPr>
          <w:sz w:val="22"/>
          <w:szCs w:val="22"/>
        </w:rPr>
        <w:t xml:space="preserve"> </w:t>
      </w:r>
      <w:proofErr w:type="spellStart"/>
      <w:r w:rsidR="00193515" w:rsidRPr="00F11963">
        <w:rPr>
          <w:sz w:val="22"/>
          <w:szCs w:val="22"/>
        </w:rPr>
        <w:t>podrške</w:t>
      </w:r>
      <w:proofErr w:type="spellEnd"/>
      <w:r w:rsidR="00193515" w:rsidRPr="00F11963">
        <w:rPr>
          <w:sz w:val="22"/>
          <w:szCs w:val="22"/>
        </w:rPr>
        <w:t xml:space="preserve"> za </w:t>
      </w:r>
      <w:proofErr w:type="spellStart"/>
      <w:r w:rsidR="00193515" w:rsidRPr="00F11963">
        <w:rPr>
          <w:sz w:val="22"/>
          <w:szCs w:val="22"/>
        </w:rPr>
        <w:t>instrumentaciju</w:t>
      </w:r>
      <w:proofErr w:type="spellEnd"/>
      <w:r w:rsidR="00193515" w:rsidRPr="00F11963">
        <w:rPr>
          <w:sz w:val="22"/>
          <w:szCs w:val="22"/>
        </w:rPr>
        <w:t xml:space="preserve"> u </w:t>
      </w:r>
      <w:proofErr w:type="spellStart"/>
      <w:r w:rsidR="00193515" w:rsidRPr="00F11963">
        <w:rPr>
          <w:sz w:val="22"/>
          <w:szCs w:val="22"/>
        </w:rPr>
        <w:t>iznosu</w:t>
      </w:r>
      <w:proofErr w:type="spellEnd"/>
      <w:r w:rsidR="00193515" w:rsidRPr="00F11963">
        <w:rPr>
          <w:sz w:val="22"/>
          <w:szCs w:val="22"/>
        </w:rPr>
        <w:t xml:space="preserve"> od 12.940,47 </w:t>
      </w:r>
      <w:proofErr w:type="spellStart"/>
      <w:r w:rsidR="00193515" w:rsidRPr="00F11963">
        <w:rPr>
          <w:sz w:val="22"/>
          <w:szCs w:val="22"/>
        </w:rPr>
        <w:t>eura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doniran</w:t>
      </w:r>
      <w:proofErr w:type="spellEnd"/>
      <w:r w:rsidR="00B754F2" w:rsidRPr="00F11963">
        <w:rPr>
          <w:sz w:val="22"/>
          <w:szCs w:val="22"/>
        </w:rPr>
        <w:t xml:space="preserve"> je </w:t>
      </w:r>
      <w:proofErr w:type="spellStart"/>
      <w:r w:rsidR="00B754F2" w:rsidRPr="00F11963">
        <w:rPr>
          <w:sz w:val="22"/>
          <w:szCs w:val="22"/>
        </w:rPr>
        <w:t>fakultetu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na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temelj</w:t>
      </w:r>
      <w:r w:rsidR="00B754F2" w:rsidRPr="00F11963">
        <w:rPr>
          <w:sz w:val="22"/>
          <w:szCs w:val="22"/>
        </w:rPr>
        <w:t>u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Izjave</w:t>
      </w:r>
      <w:proofErr w:type="spellEnd"/>
      <w:r w:rsidR="006A01B4" w:rsidRPr="00F11963">
        <w:rPr>
          <w:sz w:val="22"/>
          <w:szCs w:val="22"/>
        </w:rPr>
        <w:t xml:space="preserve"> o </w:t>
      </w:r>
      <w:proofErr w:type="spellStart"/>
      <w:r w:rsidR="006A01B4" w:rsidRPr="00F11963">
        <w:rPr>
          <w:sz w:val="22"/>
          <w:szCs w:val="22"/>
        </w:rPr>
        <w:t>prijenosu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dugotrajne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nefinancijske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imovine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od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Fakulteta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elektrotehnike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računarstva</w:t>
      </w:r>
      <w:proofErr w:type="spellEnd"/>
      <w:r w:rsidR="006A01B4" w:rsidRPr="00F11963">
        <w:rPr>
          <w:sz w:val="22"/>
          <w:szCs w:val="22"/>
        </w:rPr>
        <w:t xml:space="preserve"> Zagreb u </w:t>
      </w:r>
      <w:proofErr w:type="spellStart"/>
      <w:r w:rsidR="006A01B4" w:rsidRPr="00F11963">
        <w:rPr>
          <w:sz w:val="22"/>
          <w:szCs w:val="22"/>
        </w:rPr>
        <w:t>sklopu</w:t>
      </w:r>
      <w:proofErr w:type="spellEnd"/>
      <w:r w:rsidR="006A01B4" w:rsidRPr="00F11963">
        <w:rPr>
          <w:sz w:val="22"/>
          <w:szCs w:val="22"/>
        </w:rPr>
        <w:t xml:space="preserve"> EU </w:t>
      </w:r>
      <w:proofErr w:type="spellStart"/>
      <w:r w:rsidR="006A01B4" w:rsidRPr="00F11963">
        <w:rPr>
          <w:sz w:val="22"/>
          <w:szCs w:val="22"/>
        </w:rPr>
        <w:t>projekta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Datacross</w:t>
      </w:r>
      <w:proofErr w:type="spellEnd"/>
      <w:r w:rsidR="006A01B4" w:rsidRPr="00F11963">
        <w:rPr>
          <w:sz w:val="22"/>
          <w:szCs w:val="22"/>
        </w:rPr>
        <w:t xml:space="preserve">, a </w:t>
      </w:r>
      <w:r w:rsidR="00B754F2" w:rsidRPr="00F11963">
        <w:rPr>
          <w:sz w:val="22"/>
          <w:szCs w:val="22"/>
        </w:rPr>
        <w:t xml:space="preserve">u </w:t>
      </w:r>
      <w:proofErr w:type="spellStart"/>
      <w:r w:rsidR="00B754F2" w:rsidRPr="00F11963">
        <w:rPr>
          <w:sz w:val="22"/>
          <w:szCs w:val="22"/>
        </w:rPr>
        <w:t>skladu</w:t>
      </w:r>
      <w:proofErr w:type="spellEnd"/>
      <w:r w:rsidR="00B754F2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sa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Suglasnosti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Ministarstva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znanosti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i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obrazovanja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te</w:t>
      </w:r>
      <w:proofErr w:type="spellEnd"/>
      <w:r w:rsidR="006A01B4" w:rsidRPr="00F11963">
        <w:rPr>
          <w:sz w:val="22"/>
          <w:szCs w:val="22"/>
        </w:rPr>
        <w:t xml:space="preserve"> </w:t>
      </w:r>
      <w:proofErr w:type="spellStart"/>
      <w:r w:rsidR="006A01B4" w:rsidRPr="00F11963">
        <w:rPr>
          <w:sz w:val="22"/>
          <w:szCs w:val="22"/>
        </w:rPr>
        <w:t>suglasnosti</w:t>
      </w:r>
      <w:proofErr w:type="spellEnd"/>
      <w:r w:rsidR="006A01B4" w:rsidRPr="00F11963">
        <w:rPr>
          <w:sz w:val="22"/>
          <w:szCs w:val="22"/>
        </w:rPr>
        <w:t xml:space="preserve"> SAFU-a</w:t>
      </w:r>
      <w:r w:rsidR="00B754F2" w:rsidRPr="00F11963">
        <w:rPr>
          <w:sz w:val="22"/>
          <w:szCs w:val="22"/>
        </w:rPr>
        <w:t>.</w:t>
      </w:r>
      <w:r w:rsidR="00375751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K</w:t>
      </w:r>
      <w:r w:rsidR="00375751" w:rsidRPr="00F11963">
        <w:rPr>
          <w:sz w:val="22"/>
          <w:szCs w:val="22"/>
        </w:rPr>
        <w:t>njig</w:t>
      </w:r>
      <w:r w:rsidR="00B754F2" w:rsidRPr="00F11963">
        <w:rPr>
          <w:sz w:val="22"/>
          <w:szCs w:val="22"/>
        </w:rPr>
        <w:t>e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vrijednosti</w:t>
      </w:r>
      <w:proofErr w:type="spellEnd"/>
      <w:r w:rsidR="00375751" w:rsidRPr="00F11963">
        <w:rPr>
          <w:sz w:val="22"/>
          <w:szCs w:val="22"/>
        </w:rPr>
        <w:t xml:space="preserve"> </w:t>
      </w:r>
      <w:r w:rsidR="00193515" w:rsidRPr="00F11963">
        <w:rPr>
          <w:sz w:val="22"/>
          <w:szCs w:val="22"/>
        </w:rPr>
        <w:t xml:space="preserve">161,39 </w:t>
      </w:r>
      <w:proofErr w:type="spellStart"/>
      <w:r w:rsidR="00193515" w:rsidRPr="00F11963">
        <w:rPr>
          <w:sz w:val="22"/>
          <w:szCs w:val="22"/>
        </w:rPr>
        <w:t>eura</w:t>
      </w:r>
      <w:proofErr w:type="spellEnd"/>
      <w:r w:rsidR="00193515" w:rsidRPr="00F11963">
        <w:rPr>
          <w:sz w:val="22"/>
          <w:szCs w:val="22"/>
        </w:rPr>
        <w:t xml:space="preserve"> </w:t>
      </w:r>
      <w:proofErr w:type="spellStart"/>
      <w:r w:rsidR="00B754F2" w:rsidRPr="00F11963">
        <w:rPr>
          <w:sz w:val="22"/>
          <w:szCs w:val="22"/>
        </w:rPr>
        <w:t>doniralo</w:t>
      </w:r>
      <w:proofErr w:type="spellEnd"/>
      <w:r w:rsidR="00B754F2" w:rsidRPr="00F11963">
        <w:rPr>
          <w:sz w:val="22"/>
          <w:szCs w:val="22"/>
        </w:rPr>
        <w:t xml:space="preserve"> je </w:t>
      </w:r>
      <w:proofErr w:type="spellStart"/>
      <w:r w:rsidR="00375751" w:rsidRPr="00F11963">
        <w:rPr>
          <w:sz w:val="22"/>
          <w:szCs w:val="22"/>
        </w:rPr>
        <w:t>Ministarstv</w:t>
      </w:r>
      <w:r w:rsidR="00B754F2" w:rsidRPr="00F11963">
        <w:rPr>
          <w:sz w:val="22"/>
          <w:szCs w:val="22"/>
        </w:rPr>
        <w:t>o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znanosti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i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obrazovanja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temeljem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iskaza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interesa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na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Javni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poziv</w:t>
      </w:r>
      <w:proofErr w:type="spellEnd"/>
      <w:r w:rsidR="00375751" w:rsidRPr="00F11963">
        <w:rPr>
          <w:sz w:val="22"/>
          <w:szCs w:val="22"/>
        </w:rPr>
        <w:t xml:space="preserve"> za </w:t>
      </w:r>
      <w:proofErr w:type="spellStart"/>
      <w:r w:rsidR="00375751" w:rsidRPr="00F11963">
        <w:rPr>
          <w:sz w:val="22"/>
          <w:szCs w:val="22"/>
        </w:rPr>
        <w:t>otkup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znanstvenih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knjiga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i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visokoškolskih</w:t>
      </w:r>
      <w:proofErr w:type="spellEnd"/>
      <w:r w:rsidR="00375751" w:rsidRPr="00F11963">
        <w:rPr>
          <w:sz w:val="22"/>
          <w:szCs w:val="22"/>
        </w:rPr>
        <w:t xml:space="preserve"> </w:t>
      </w:r>
      <w:proofErr w:type="spellStart"/>
      <w:r w:rsidR="00375751" w:rsidRPr="00F11963">
        <w:rPr>
          <w:sz w:val="22"/>
          <w:szCs w:val="22"/>
        </w:rPr>
        <w:t>udžbenika</w:t>
      </w:r>
      <w:proofErr w:type="spellEnd"/>
      <w:r w:rsidR="00375751" w:rsidRPr="00F11963">
        <w:rPr>
          <w:sz w:val="22"/>
          <w:szCs w:val="22"/>
        </w:rPr>
        <w:t>.</w:t>
      </w:r>
    </w:p>
    <w:p w14:paraId="1A27C8EB" w14:textId="77777777" w:rsidR="003E65C5" w:rsidRPr="00F11963" w:rsidRDefault="003E65C5" w:rsidP="003E65C5">
      <w:pPr>
        <w:pStyle w:val="ListParagraph"/>
        <w:rPr>
          <w:sz w:val="22"/>
          <w:szCs w:val="22"/>
        </w:rPr>
      </w:pPr>
    </w:p>
    <w:p w14:paraId="0353AE6D" w14:textId="77777777" w:rsidR="003E65C5" w:rsidRPr="00F11963" w:rsidRDefault="003E65C5" w:rsidP="00FF15BE">
      <w:pPr>
        <w:pStyle w:val="ListParagraph"/>
        <w:numPr>
          <w:ilvl w:val="0"/>
          <w:numId w:val="25"/>
        </w:numPr>
        <w:tabs>
          <w:tab w:val="clear" w:pos="360"/>
          <w:tab w:val="left" w:pos="284"/>
          <w:tab w:val="left" w:pos="1620"/>
        </w:tabs>
        <w:spacing w:line="360" w:lineRule="auto"/>
        <w:ind w:left="284" w:hanging="426"/>
        <w:rPr>
          <w:sz w:val="22"/>
          <w:szCs w:val="22"/>
        </w:rPr>
      </w:pPr>
      <w:proofErr w:type="spellStart"/>
      <w:r w:rsidRPr="00F11963">
        <w:rPr>
          <w:sz w:val="22"/>
          <w:szCs w:val="22"/>
        </w:rPr>
        <w:t>Promjena</w:t>
      </w:r>
      <w:proofErr w:type="spellEnd"/>
      <w:r w:rsidRPr="00F11963">
        <w:rPr>
          <w:sz w:val="22"/>
          <w:szCs w:val="22"/>
        </w:rPr>
        <w:t xml:space="preserve"> u </w:t>
      </w:r>
      <w:proofErr w:type="spellStart"/>
      <w:r w:rsidRPr="00F11963">
        <w:rPr>
          <w:sz w:val="22"/>
          <w:szCs w:val="22"/>
        </w:rPr>
        <w:t>obujmu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imovine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Obrazac</w:t>
      </w:r>
      <w:proofErr w:type="spellEnd"/>
      <w:r w:rsidRPr="00F11963">
        <w:rPr>
          <w:sz w:val="22"/>
          <w:szCs w:val="22"/>
        </w:rPr>
        <w:t xml:space="preserve">: P-VRIO </w:t>
      </w:r>
      <w:proofErr w:type="spellStart"/>
      <w:r w:rsidRPr="00F11963">
        <w:rPr>
          <w:sz w:val="22"/>
          <w:szCs w:val="22"/>
        </w:rPr>
        <w:t>bilježi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smanjenje</w:t>
      </w:r>
      <w:proofErr w:type="spellEnd"/>
      <w:r w:rsidRPr="00F11963">
        <w:rPr>
          <w:sz w:val="22"/>
          <w:szCs w:val="22"/>
        </w:rPr>
        <w:t xml:space="preserve"> za 4.486,81 </w:t>
      </w:r>
      <w:proofErr w:type="spellStart"/>
      <w:r w:rsidRPr="00F11963">
        <w:rPr>
          <w:sz w:val="22"/>
          <w:szCs w:val="22"/>
        </w:rPr>
        <w:t>eura</w:t>
      </w:r>
      <w:proofErr w:type="spellEnd"/>
      <w:r w:rsidRPr="00F11963">
        <w:rPr>
          <w:sz w:val="22"/>
          <w:szCs w:val="22"/>
        </w:rPr>
        <w:t xml:space="preserve">, </w:t>
      </w:r>
      <w:proofErr w:type="gramStart"/>
      <w:r w:rsidRPr="00F11963">
        <w:rPr>
          <w:sz w:val="22"/>
          <w:szCs w:val="22"/>
        </w:rPr>
        <w:t>a</w:t>
      </w:r>
      <w:proofErr w:type="gram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odnsi</w:t>
      </w:r>
      <w:proofErr w:type="spellEnd"/>
      <w:r w:rsidRPr="00F11963">
        <w:rPr>
          <w:sz w:val="22"/>
          <w:szCs w:val="22"/>
        </w:rPr>
        <w:t xml:space="preserve"> se </w:t>
      </w:r>
      <w:proofErr w:type="spellStart"/>
      <w:r w:rsidRPr="00F11963">
        <w:rPr>
          <w:sz w:val="22"/>
          <w:szCs w:val="22"/>
        </w:rPr>
        <w:t>na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otpis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potraživanja</w:t>
      </w:r>
      <w:proofErr w:type="spellEnd"/>
      <w:r w:rsidRPr="00F11963">
        <w:rPr>
          <w:sz w:val="22"/>
          <w:szCs w:val="22"/>
        </w:rPr>
        <w:t xml:space="preserve"> za </w:t>
      </w:r>
      <w:proofErr w:type="spellStart"/>
      <w:r w:rsidRPr="00F11963">
        <w:rPr>
          <w:sz w:val="22"/>
          <w:szCs w:val="22"/>
        </w:rPr>
        <w:t>školarine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prema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Odluci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dekana</w:t>
      </w:r>
      <w:proofErr w:type="spellEnd"/>
      <w:r w:rsidRPr="00F11963">
        <w:rPr>
          <w:sz w:val="22"/>
          <w:szCs w:val="22"/>
        </w:rPr>
        <w:t xml:space="preserve">, a </w:t>
      </w:r>
      <w:proofErr w:type="spellStart"/>
      <w:r w:rsidRPr="00F11963">
        <w:rPr>
          <w:sz w:val="22"/>
          <w:szCs w:val="22"/>
        </w:rPr>
        <w:t>zbog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zastare</w:t>
      </w:r>
      <w:proofErr w:type="spellEnd"/>
      <w:r w:rsidRPr="00F11963">
        <w:rPr>
          <w:sz w:val="22"/>
          <w:szCs w:val="22"/>
        </w:rPr>
        <w:t xml:space="preserve"> </w:t>
      </w:r>
      <w:proofErr w:type="spellStart"/>
      <w:r w:rsidRPr="00F11963">
        <w:rPr>
          <w:sz w:val="22"/>
          <w:szCs w:val="22"/>
        </w:rPr>
        <w:t>istih</w:t>
      </w:r>
      <w:proofErr w:type="spellEnd"/>
      <w:r w:rsidRPr="00F11963">
        <w:rPr>
          <w:sz w:val="22"/>
          <w:szCs w:val="22"/>
        </w:rPr>
        <w:t>.</w:t>
      </w:r>
    </w:p>
    <w:p w14:paraId="3C5730EA" w14:textId="77777777" w:rsidR="0043176A" w:rsidRPr="00F11963" w:rsidRDefault="0043176A" w:rsidP="00FF15BE">
      <w:pPr>
        <w:pStyle w:val="ListParagraph"/>
        <w:spacing w:line="360" w:lineRule="auto"/>
        <w:ind w:left="284"/>
        <w:rPr>
          <w:sz w:val="22"/>
          <w:szCs w:val="22"/>
          <w:lang w:val="hr-HR"/>
        </w:rPr>
      </w:pPr>
    </w:p>
    <w:p w14:paraId="77FC4604" w14:textId="77777777" w:rsidR="00004DD7" w:rsidRPr="00F11963" w:rsidRDefault="002B174D" w:rsidP="00FF15BE">
      <w:pPr>
        <w:pStyle w:val="ListParagraph"/>
        <w:numPr>
          <w:ilvl w:val="0"/>
          <w:numId w:val="25"/>
        </w:numPr>
        <w:spacing w:after="0" w:line="360" w:lineRule="auto"/>
        <w:ind w:left="284"/>
        <w:rPr>
          <w:sz w:val="22"/>
          <w:szCs w:val="22"/>
          <w:lang w:val="hr-HR"/>
        </w:rPr>
      </w:pPr>
      <w:r w:rsidRPr="00F11963">
        <w:rPr>
          <w:bCs/>
          <w:sz w:val="22"/>
          <w:szCs w:val="22"/>
          <w:lang w:val="hr-HR"/>
        </w:rPr>
        <w:t>Iz</w:t>
      </w:r>
      <w:r w:rsidR="0003090D" w:rsidRPr="00F11963">
        <w:rPr>
          <w:bCs/>
          <w:sz w:val="22"/>
          <w:szCs w:val="22"/>
          <w:lang w:val="hr-HR"/>
        </w:rPr>
        <w:t xml:space="preserve"> </w:t>
      </w:r>
      <w:r w:rsidR="00196099" w:rsidRPr="00F11963">
        <w:rPr>
          <w:bCs/>
          <w:sz w:val="22"/>
          <w:szCs w:val="22"/>
          <w:lang w:val="hr-HR"/>
        </w:rPr>
        <w:t xml:space="preserve">sredstava školarina i </w:t>
      </w:r>
      <w:r w:rsidR="00FA3470" w:rsidRPr="00F11963">
        <w:rPr>
          <w:bCs/>
          <w:sz w:val="22"/>
          <w:szCs w:val="22"/>
          <w:lang w:val="hr-HR"/>
        </w:rPr>
        <w:t>vlastitih</w:t>
      </w:r>
      <w:r w:rsidR="00481285" w:rsidRPr="00F11963">
        <w:rPr>
          <w:bCs/>
          <w:sz w:val="22"/>
          <w:szCs w:val="22"/>
          <w:lang w:val="hr-HR"/>
        </w:rPr>
        <w:t xml:space="preserve"> prihoda</w:t>
      </w:r>
      <w:r w:rsidR="00E60F65" w:rsidRPr="00F11963">
        <w:rPr>
          <w:bCs/>
          <w:sz w:val="22"/>
          <w:szCs w:val="22"/>
          <w:lang w:val="hr-HR"/>
        </w:rPr>
        <w:t xml:space="preserve"> </w:t>
      </w:r>
      <w:r w:rsidR="0003090D" w:rsidRPr="00F11963">
        <w:rPr>
          <w:bCs/>
          <w:sz w:val="22"/>
          <w:szCs w:val="22"/>
          <w:lang w:val="hr-HR"/>
        </w:rPr>
        <w:t>fakulteta u 20</w:t>
      </w:r>
      <w:r w:rsidR="00196099" w:rsidRPr="00F11963">
        <w:rPr>
          <w:bCs/>
          <w:sz w:val="22"/>
          <w:szCs w:val="22"/>
          <w:lang w:val="hr-HR"/>
        </w:rPr>
        <w:t>2</w:t>
      </w:r>
      <w:r w:rsidRPr="00F11963">
        <w:rPr>
          <w:bCs/>
          <w:sz w:val="22"/>
          <w:szCs w:val="22"/>
          <w:lang w:val="hr-HR"/>
        </w:rPr>
        <w:t>3</w:t>
      </w:r>
      <w:r w:rsidR="0003090D" w:rsidRPr="00F11963">
        <w:rPr>
          <w:bCs/>
          <w:sz w:val="22"/>
          <w:szCs w:val="22"/>
          <w:lang w:val="hr-HR"/>
        </w:rPr>
        <w:t xml:space="preserve">. godini izdvojeno </w:t>
      </w:r>
      <w:r w:rsidR="00115884" w:rsidRPr="00F11963">
        <w:rPr>
          <w:bCs/>
          <w:sz w:val="22"/>
          <w:szCs w:val="22"/>
          <w:lang w:val="hr-HR"/>
        </w:rPr>
        <w:t xml:space="preserve">je </w:t>
      </w:r>
      <w:r w:rsidR="007F7DAD" w:rsidRPr="00F11963">
        <w:rPr>
          <w:bCs/>
          <w:sz w:val="22"/>
          <w:szCs w:val="22"/>
          <w:lang w:val="hr-HR"/>
        </w:rPr>
        <w:t>za sljedeće imovinske stavke</w:t>
      </w:r>
      <w:r w:rsidR="0003090D" w:rsidRPr="00F11963">
        <w:rPr>
          <w:bCs/>
          <w:sz w:val="22"/>
          <w:szCs w:val="22"/>
          <w:lang w:val="hr-HR"/>
        </w:rPr>
        <w:t>:</w:t>
      </w:r>
    </w:p>
    <w:p w14:paraId="24170376" w14:textId="77777777" w:rsidR="003D1686" w:rsidRPr="00F11963" w:rsidRDefault="003D1686" w:rsidP="006E2BC7">
      <w:pPr>
        <w:pStyle w:val="ListParagraph"/>
        <w:rPr>
          <w:sz w:val="22"/>
          <w:szCs w:val="22"/>
          <w:lang w:val="hr-HR"/>
        </w:rPr>
      </w:pPr>
    </w:p>
    <w:p w14:paraId="21EC9106" w14:textId="77777777" w:rsidR="006E2BC7" w:rsidRPr="00E40003" w:rsidRDefault="006E2BC7" w:rsidP="006E2BC7">
      <w:pPr>
        <w:spacing w:after="0" w:line="276" w:lineRule="auto"/>
        <w:ind w:left="0" w:firstLine="0"/>
        <w:rPr>
          <w:color w:val="4F6228" w:themeColor="accent3" w:themeShade="80"/>
          <w:sz w:val="22"/>
          <w:szCs w:val="22"/>
          <w:lang w:val="hr-HR"/>
        </w:rPr>
      </w:pPr>
    </w:p>
    <w:tbl>
      <w:tblPr>
        <w:tblW w:w="7397" w:type="dxa"/>
        <w:jc w:val="center"/>
        <w:tblLook w:val="04A0" w:firstRow="1" w:lastRow="0" w:firstColumn="1" w:lastColumn="0" w:noHBand="0" w:noVBand="1"/>
      </w:tblPr>
      <w:tblGrid>
        <w:gridCol w:w="960"/>
        <w:gridCol w:w="4867"/>
        <w:gridCol w:w="1570"/>
      </w:tblGrid>
      <w:tr w:rsidR="00E40003" w:rsidRPr="00F11963" w14:paraId="3CBFA025" w14:textId="77777777" w:rsidTr="00A22126">
        <w:trPr>
          <w:trHeight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844DC7" w14:textId="77777777" w:rsidR="007E1F18" w:rsidRPr="00F11963" w:rsidRDefault="007E1F18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lastRenderedPageBreak/>
              <w:t>R.br.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A8806A" w14:textId="77777777" w:rsidR="007E1F18" w:rsidRPr="00F11963" w:rsidRDefault="007F7DAD" w:rsidP="00461DDB">
            <w:pPr>
              <w:spacing w:after="0" w:line="276" w:lineRule="auto"/>
              <w:ind w:left="0" w:firstLine="0"/>
              <w:jc w:val="left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>Ulaganja u dugotrajnu nefinancijsku imovinu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4535A64" w14:textId="77777777" w:rsidR="007E1F18" w:rsidRPr="00F11963" w:rsidRDefault="007E1F18" w:rsidP="002B174D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 xml:space="preserve">Iznos ulaganja u 000 </w:t>
            </w:r>
            <w:r w:rsidR="002B174D" w:rsidRPr="00F11963">
              <w:rPr>
                <w:b/>
                <w:bCs/>
                <w:lang w:val="hr-HR"/>
              </w:rPr>
              <w:t>eura</w:t>
            </w:r>
          </w:p>
        </w:tc>
      </w:tr>
      <w:tr w:rsidR="00E40003" w:rsidRPr="00F11963" w14:paraId="37B54D16" w14:textId="77777777" w:rsidTr="00DB0603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81FC" w14:textId="77777777" w:rsidR="007E1F18" w:rsidRPr="00F11963" w:rsidRDefault="007E1F18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</w:t>
            </w:r>
            <w:r w:rsidR="00F2288F" w:rsidRPr="00F11963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7285" w14:textId="77777777" w:rsidR="007E1F18" w:rsidRPr="00F11963" w:rsidRDefault="00DB06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Računalna oprema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2737" w14:textId="77777777" w:rsidR="007E1F18" w:rsidRPr="00F11963" w:rsidRDefault="002B174D" w:rsidP="00110342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14</w:t>
            </w:r>
          </w:p>
        </w:tc>
      </w:tr>
      <w:tr w:rsidR="00E40003" w:rsidRPr="00F11963" w14:paraId="08859BB3" w14:textId="77777777" w:rsidTr="00DB0603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123E" w14:textId="77777777" w:rsidR="007E1F18" w:rsidRPr="00F11963" w:rsidRDefault="007E1F18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1.2</w:t>
            </w:r>
            <w:r w:rsidR="00F2288F" w:rsidRPr="00F11963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B8C7" w14:textId="77777777" w:rsidR="007E1F18" w:rsidRPr="00F11963" w:rsidRDefault="00DB06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Uredski namještaj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857B" w14:textId="77777777" w:rsidR="007E1F18" w:rsidRPr="00F11963" w:rsidRDefault="00E4000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</w:t>
            </w:r>
          </w:p>
        </w:tc>
      </w:tr>
      <w:tr w:rsidR="00E40003" w:rsidRPr="00F11963" w14:paraId="1A23F4CD" w14:textId="77777777" w:rsidTr="00A22126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2D79B" w14:textId="77777777" w:rsidR="00DA581F" w:rsidRPr="00F11963" w:rsidRDefault="00DA581F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1.3</w:t>
            </w:r>
            <w:r w:rsidR="00F2288F" w:rsidRPr="00F11963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03EA" w14:textId="77777777" w:rsidR="00DA581F" w:rsidRPr="00F11963" w:rsidRDefault="00E400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Školska učila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011A" w14:textId="77777777" w:rsidR="00DA581F" w:rsidRPr="00F11963" w:rsidRDefault="00E4000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</w:t>
            </w:r>
          </w:p>
        </w:tc>
      </w:tr>
      <w:tr w:rsidR="00E40003" w:rsidRPr="00F11963" w14:paraId="5FBB2993" w14:textId="77777777" w:rsidTr="00DA581F">
        <w:trPr>
          <w:trHeight w:hRule="exact" w:val="39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1258" w14:textId="77777777" w:rsidR="007E1F18" w:rsidRPr="00F11963" w:rsidRDefault="00361EB1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1.4</w:t>
            </w:r>
            <w:r w:rsidR="00F2288F" w:rsidRPr="00F11963">
              <w:rPr>
                <w:lang w:val="hr-HR"/>
              </w:rPr>
              <w:t>.</w:t>
            </w:r>
          </w:p>
        </w:tc>
        <w:tc>
          <w:tcPr>
            <w:tcW w:w="4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AAD0" w14:textId="77777777" w:rsidR="007E1F18" w:rsidRPr="00F11963" w:rsidRDefault="00E40003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Knjige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B652" w14:textId="77777777" w:rsidR="007E1F18" w:rsidRPr="00F11963" w:rsidRDefault="00E4000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</w:t>
            </w:r>
          </w:p>
        </w:tc>
      </w:tr>
      <w:tr w:rsidR="00E40003" w:rsidRPr="00F11963" w14:paraId="54A3E5F6" w14:textId="77777777" w:rsidTr="00B644B8">
        <w:trPr>
          <w:trHeight w:val="5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A36D8AD" w14:textId="77777777" w:rsidR="009E0B11" w:rsidRPr="00F11963" w:rsidRDefault="009E0B11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335D9" w14:textId="77777777" w:rsidR="009E0B11" w:rsidRPr="00F11963" w:rsidRDefault="009E0B11" w:rsidP="005E3FE8">
            <w:pPr>
              <w:spacing w:after="0" w:line="276" w:lineRule="auto"/>
              <w:ind w:left="0" w:firstLine="0"/>
              <w:jc w:val="left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>Ukupna kapitalna ulag</w:t>
            </w:r>
            <w:r w:rsidR="00D12D87" w:rsidRPr="00F11963">
              <w:rPr>
                <w:b/>
                <w:bCs/>
                <w:lang w:val="hr-HR"/>
              </w:rPr>
              <w:t>a</w:t>
            </w:r>
            <w:r w:rsidRPr="00F11963">
              <w:rPr>
                <w:b/>
                <w:bCs/>
                <w:lang w:val="hr-HR"/>
              </w:rPr>
              <w:t xml:space="preserve">nja iz </w:t>
            </w:r>
            <w:r w:rsidR="005E3FE8" w:rsidRPr="00F11963">
              <w:rPr>
                <w:b/>
                <w:bCs/>
                <w:lang w:val="hr-HR"/>
              </w:rPr>
              <w:t xml:space="preserve">vlastitih sredstava </w:t>
            </w:r>
            <w:r w:rsidR="00196099" w:rsidRPr="00F11963">
              <w:rPr>
                <w:b/>
                <w:bCs/>
                <w:lang w:val="hr-HR"/>
              </w:rPr>
              <w:t xml:space="preserve">i sredstava od školarina </w:t>
            </w:r>
            <w:r w:rsidR="005E3FE8" w:rsidRPr="00F11963">
              <w:rPr>
                <w:b/>
                <w:bCs/>
                <w:lang w:val="hr-HR"/>
              </w:rPr>
              <w:t>Fakulteta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D586E0" w14:textId="77777777" w:rsidR="009E0B11" w:rsidRPr="00F11963" w:rsidRDefault="00E40003" w:rsidP="00815276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fldChar w:fldCharType="begin"/>
            </w:r>
            <w:r w:rsidRPr="00F11963">
              <w:rPr>
                <w:b/>
                <w:bCs/>
                <w:lang w:val="hr-HR"/>
              </w:rPr>
              <w:instrText xml:space="preserve"> =SUM(ABOVE) </w:instrText>
            </w:r>
            <w:r w:rsidRPr="00F11963">
              <w:rPr>
                <w:b/>
                <w:bCs/>
                <w:lang w:val="hr-HR"/>
              </w:rPr>
              <w:fldChar w:fldCharType="separate"/>
            </w:r>
            <w:r w:rsidRPr="00F11963">
              <w:rPr>
                <w:b/>
                <w:bCs/>
                <w:noProof/>
                <w:lang w:val="hr-HR"/>
              </w:rPr>
              <w:t>17</w:t>
            </w:r>
            <w:r w:rsidRPr="00F11963">
              <w:rPr>
                <w:b/>
                <w:bCs/>
                <w:lang w:val="hr-HR"/>
              </w:rPr>
              <w:fldChar w:fldCharType="end"/>
            </w:r>
          </w:p>
        </w:tc>
      </w:tr>
    </w:tbl>
    <w:p w14:paraId="2EB9FD1D" w14:textId="77777777" w:rsidR="00162FCA" w:rsidRPr="00F11963" w:rsidRDefault="00162FCA" w:rsidP="00162FCA">
      <w:pPr>
        <w:spacing w:line="276" w:lineRule="auto"/>
        <w:ind w:left="0" w:firstLine="0"/>
        <w:rPr>
          <w:bCs/>
          <w:sz w:val="22"/>
          <w:szCs w:val="22"/>
          <w:lang w:val="hr-HR"/>
        </w:rPr>
      </w:pPr>
    </w:p>
    <w:p w14:paraId="30301DD9" w14:textId="77777777" w:rsidR="00162FCA" w:rsidRPr="00F11963" w:rsidRDefault="00716000" w:rsidP="002F6E76">
      <w:pPr>
        <w:keepNext/>
        <w:spacing w:after="240" w:line="276" w:lineRule="auto"/>
        <w:ind w:left="284" w:firstLine="0"/>
        <w:rPr>
          <w:bCs/>
          <w:sz w:val="22"/>
          <w:szCs w:val="22"/>
          <w:lang w:val="hr-HR"/>
        </w:rPr>
      </w:pPr>
      <w:r w:rsidRPr="00F11963">
        <w:rPr>
          <w:bCs/>
          <w:sz w:val="22"/>
          <w:szCs w:val="22"/>
          <w:lang w:val="hr-HR"/>
        </w:rPr>
        <w:t>Ulaganje</w:t>
      </w:r>
      <w:r w:rsidR="007B411A" w:rsidRPr="00F11963">
        <w:rPr>
          <w:bCs/>
          <w:sz w:val="22"/>
          <w:szCs w:val="22"/>
          <w:lang w:val="hr-HR"/>
        </w:rPr>
        <w:t xml:space="preserve"> </w:t>
      </w:r>
      <w:r w:rsidRPr="00F11963">
        <w:rPr>
          <w:bCs/>
          <w:sz w:val="22"/>
          <w:szCs w:val="22"/>
          <w:lang w:val="hr-HR"/>
        </w:rPr>
        <w:t xml:space="preserve"> u opremu i pob</w:t>
      </w:r>
      <w:r w:rsidR="00D106A2" w:rsidRPr="00F11963">
        <w:rPr>
          <w:bCs/>
          <w:sz w:val="22"/>
          <w:szCs w:val="22"/>
          <w:lang w:val="hr-HR"/>
        </w:rPr>
        <w:t>oljšanje uv</w:t>
      </w:r>
      <w:r w:rsidRPr="00F11963">
        <w:rPr>
          <w:bCs/>
          <w:sz w:val="22"/>
          <w:szCs w:val="22"/>
          <w:lang w:val="hr-HR"/>
        </w:rPr>
        <w:t>jeta rada u instituciji također je osigurano i kroz EU projekte. Suradnjom na EU projektima nabavljena oprema za potrebe navedenih projekata ostaje u trajnom vlasništvu Fakulteta.</w:t>
      </w:r>
    </w:p>
    <w:p w14:paraId="40F5DF48" w14:textId="77777777" w:rsidR="002F6E76" w:rsidRPr="00F11963" w:rsidRDefault="002F6E76" w:rsidP="002F6E76">
      <w:pPr>
        <w:keepNext/>
        <w:spacing w:after="240" w:line="276" w:lineRule="auto"/>
        <w:ind w:left="284" w:firstLine="0"/>
        <w:rPr>
          <w:bCs/>
          <w:sz w:val="22"/>
          <w:szCs w:val="22"/>
          <w:lang w:val="hr-HR"/>
        </w:rPr>
      </w:pPr>
    </w:p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960"/>
        <w:gridCol w:w="4399"/>
        <w:gridCol w:w="1646"/>
      </w:tblGrid>
      <w:tr w:rsidR="00973D43" w:rsidRPr="00F11963" w14:paraId="1E6E6CCB" w14:textId="77777777" w:rsidTr="00610787">
        <w:trPr>
          <w:trHeight w:val="51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8391A4" w14:textId="77777777" w:rsidR="00D106A2" w:rsidRPr="00F11963" w:rsidRDefault="00D106A2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>R.br.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771B2A" w14:textId="77777777" w:rsidR="00D106A2" w:rsidRPr="00F11963" w:rsidRDefault="00D106A2" w:rsidP="00461DDB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>Ulaganja u dugotrajnu imovinu iz EU fondova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495A0B40" w14:textId="77777777" w:rsidR="00D106A2" w:rsidRPr="00F11963" w:rsidRDefault="00D106A2" w:rsidP="002B174D">
            <w:pPr>
              <w:spacing w:after="0" w:line="276" w:lineRule="auto"/>
              <w:ind w:left="0" w:firstLine="0"/>
              <w:jc w:val="center"/>
              <w:rPr>
                <w:b/>
                <w:bCs/>
                <w:lang w:val="hr-HR"/>
              </w:rPr>
            </w:pPr>
            <w:r w:rsidRPr="00F11963">
              <w:rPr>
                <w:b/>
                <w:bCs/>
                <w:lang w:val="hr-HR"/>
              </w:rPr>
              <w:t xml:space="preserve">Iznos ulaganja u 000 </w:t>
            </w:r>
            <w:r w:rsidR="002B174D" w:rsidRPr="00F11963">
              <w:rPr>
                <w:b/>
                <w:bCs/>
                <w:lang w:val="hr-HR"/>
              </w:rPr>
              <w:t>eura</w:t>
            </w:r>
          </w:p>
        </w:tc>
      </w:tr>
      <w:tr w:rsidR="00973D43" w:rsidRPr="00F11963" w14:paraId="7A520E3C" w14:textId="77777777" w:rsidTr="00103292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79B9" w14:textId="77777777" w:rsidR="00D106A2" w:rsidRPr="00F11963" w:rsidRDefault="00103292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</w:t>
            </w:r>
            <w:r w:rsidR="00BA36AE" w:rsidRPr="00F11963">
              <w:rPr>
                <w:lang w:val="hr-HR"/>
              </w:rPr>
              <w:t>.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56BE" w14:textId="77777777" w:rsidR="00D106A2" w:rsidRPr="00F11963" w:rsidRDefault="00103292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Računal</w:t>
            </w:r>
            <w:r w:rsidR="00CD1982" w:rsidRPr="00F11963">
              <w:rPr>
                <w:lang w:val="hr-HR"/>
              </w:rPr>
              <w:t>a i računal</w:t>
            </w:r>
            <w:r w:rsidRPr="00F11963">
              <w:rPr>
                <w:lang w:val="hr-HR"/>
              </w:rPr>
              <w:t>na oprema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BE9B21" w14:textId="77777777" w:rsidR="00D106A2" w:rsidRPr="00F11963" w:rsidRDefault="00E40003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55</w:t>
            </w:r>
          </w:p>
        </w:tc>
      </w:tr>
      <w:tr w:rsidR="00973D43" w:rsidRPr="00F11963" w14:paraId="2DA6FF91" w14:textId="77777777" w:rsidTr="00103292">
        <w:trPr>
          <w:trHeight w:val="4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1E6A" w14:textId="77777777" w:rsidR="00D106A2" w:rsidRPr="00F11963" w:rsidRDefault="00103292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1.2</w:t>
            </w:r>
            <w:r w:rsidR="00BA36AE" w:rsidRPr="00F11963">
              <w:rPr>
                <w:lang w:val="hr-HR"/>
              </w:rPr>
              <w:t>.</w:t>
            </w: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0A3D8" w14:textId="77777777" w:rsidR="00D106A2" w:rsidRPr="00F11963" w:rsidRDefault="00D133F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 xml:space="preserve">CISCO </w:t>
            </w:r>
            <w:proofErr w:type="spellStart"/>
            <w:r w:rsidRPr="00F11963">
              <w:rPr>
                <w:lang w:val="hr-HR"/>
              </w:rPr>
              <w:t>Catalyst</w:t>
            </w:r>
            <w:proofErr w:type="spellEnd"/>
            <w:r w:rsidRPr="00F11963">
              <w:rPr>
                <w:lang w:val="hr-HR"/>
              </w:rPr>
              <w:t xml:space="preserve"> 9300 48GE SFP </w:t>
            </w:r>
            <w:proofErr w:type="spellStart"/>
            <w:r w:rsidRPr="00F11963">
              <w:rPr>
                <w:lang w:val="hr-HR"/>
              </w:rPr>
              <w:t>Ports</w:t>
            </w:r>
            <w:proofErr w:type="spellEnd"/>
            <w:r w:rsidRPr="00F11963">
              <w:rPr>
                <w:lang w:val="hr-HR"/>
              </w:rPr>
              <w:t xml:space="preserve"> (2 kom.)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A7F6B" w14:textId="77777777" w:rsidR="00D106A2" w:rsidRPr="00F11963" w:rsidRDefault="00D133F0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33</w:t>
            </w:r>
          </w:p>
        </w:tc>
      </w:tr>
      <w:tr w:rsidR="00973D43" w:rsidRPr="00F11963" w14:paraId="1B3A15F9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73364" w14:textId="77777777" w:rsidR="00BA36AE" w:rsidRPr="00F11963" w:rsidRDefault="00BA36AE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B7BBC" w14:textId="77777777" w:rsidR="00BA36AE" w:rsidRPr="00F11963" w:rsidRDefault="00D133F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 xml:space="preserve">Plutajući sustav za </w:t>
            </w:r>
            <w:proofErr w:type="spellStart"/>
            <w:r w:rsidRPr="00F11963">
              <w:rPr>
                <w:lang w:val="hr-HR"/>
              </w:rPr>
              <w:t>predrast</w:t>
            </w:r>
            <w:proofErr w:type="spellEnd"/>
            <w:r w:rsidRPr="00F11963">
              <w:rPr>
                <w:lang w:val="hr-HR"/>
              </w:rPr>
              <w:t xml:space="preserve"> mlađi školjaka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D79A" w14:textId="77777777" w:rsidR="00BA36AE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33</w:t>
            </w:r>
          </w:p>
        </w:tc>
      </w:tr>
      <w:tr w:rsidR="00973D43" w:rsidRPr="00F11963" w14:paraId="18726ABE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9C1EF" w14:textId="77777777" w:rsidR="00BA36AE" w:rsidRPr="00F11963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1A472" w14:textId="77777777" w:rsidR="00BA36AE" w:rsidRPr="00F11963" w:rsidRDefault="00D133F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Elektroinstalacijska i istraživačka oprema industrijskog istraživanja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9337" w14:textId="77777777" w:rsidR="00BA36AE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26</w:t>
            </w:r>
          </w:p>
        </w:tc>
      </w:tr>
      <w:tr w:rsidR="00973D43" w:rsidRPr="00F11963" w14:paraId="29B5BF20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5B29E" w14:textId="77777777" w:rsidR="00BA36AE" w:rsidRPr="00F11963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24F0F" w14:textId="77777777" w:rsidR="00BA36AE" w:rsidRPr="00F11963" w:rsidRDefault="00D133F0" w:rsidP="00D133F0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 xml:space="preserve">Elektroinstalacijska </w:t>
            </w:r>
            <w:proofErr w:type="spellStart"/>
            <w:r w:rsidRPr="00F11963">
              <w:rPr>
                <w:lang w:val="hr-HR"/>
              </w:rPr>
              <w:t>smart-grid</w:t>
            </w:r>
            <w:proofErr w:type="spellEnd"/>
            <w:r w:rsidRPr="00F11963">
              <w:rPr>
                <w:lang w:val="hr-HR"/>
              </w:rPr>
              <w:t xml:space="preserve"> oprema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CF70" w14:textId="77777777" w:rsidR="00BA36AE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22</w:t>
            </w:r>
          </w:p>
        </w:tc>
      </w:tr>
      <w:tr w:rsidR="00973D43" w:rsidRPr="00F11963" w14:paraId="353567A9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71F462" w14:textId="77777777" w:rsidR="00BA36AE" w:rsidRPr="00F11963" w:rsidRDefault="00BA36AE" w:rsidP="00461DDB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9318F" w14:textId="77777777" w:rsidR="00BA36AE" w:rsidRPr="00F11963" w:rsidRDefault="00D133F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Bežični nosivi naglavni EEG set (20 kanala)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F329C" w14:textId="77777777" w:rsidR="00BA36AE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20</w:t>
            </w:r>
          </w:p>
        </w:tc>
      </w:tr>
      <w:tr w:rsidR="00973D43" w:rsidRPr="00F11963" w14:paraId="3C9F6825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D681D4" w14:textId="77777777" w:rsidR="00DF6570" w:rsidRPr="00F11963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1.7.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F8E24" w14:textId="77777777" w:rsidR="00DF6570" w:rsidRPr="00F11963" w:rsidRDefault="00D133F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Ostala uredska oprema (arhivski regal i školske ploče)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CB2AD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12</w:t>
            </w:r>
          </w:p>
        </w:tc>
      </w:tr>
      <w:tr w:rsidR="00973D43" w:rsidRPr="00F11963" w14:paraId="3F363652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6B305A" w14:textId="77777777" w:rsidR="00DF6570" w:rsidRPr="00F11963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1.8.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CF87" w14:textId="77777777" w:rsidR="00DF6570" w:rsidRPr="00F11963" w:rsidRDefault="006303B7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proofErr w:type="spellStart"/>
            <w:r w:rsidRPr="00F11963">
              <w:rPr>
                <w:lang w:val="hr-HR"/>
              </w:rPr>
              <w:t>Deltaohm</w:t>
            </w:r>
            <w:proofErr w:type="spellEnd"/>
            <w:r w:rsidRPr="00F11963">
              <w:rPr>
                <w:lang w:val="hr-HR"/>
              </w:rPr>
              <w:t xml:space="preserve"> kompaktna vremenska stanica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37EC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10</w:t>
            </w:r>
          </w:p>
        </w:tc>
      </w:tr>
      <w:tr w:rsidR="00973D43" w:rsidRPr="00F11963" w14:paraId="3936CE29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CEBC9C" w14:textId="77777777" w:rsidR="00DF6570" w:rsidRPr="00F11963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1.9.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677D4" w14:textId="77777777" w:rsidR="00DF6570" w:rsidRPr="00F11963" w:rsidRDefault="006303B7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Akustične komore (3 kom.)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FBA9D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7</w:t>
            </w:r>
          </w:p>
        </w:tc>
      </w:tr>
      <w:tr w:rsidR="00973D43" w:rsidRPr="00F11963" w14:paraId="0E0C7CC5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FCC6C" w14:textId="77777777" w:rsidR="00DF6570" w:rsidRPr="00F11963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1.10.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1F053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Klima uređaji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769F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7</w:t>
            </w:r>
          </w:p>
        </w:tc>
      </w:tr>
      <w:tr w:rsidR="00973D43" w:rsidRPr="00F11963" w14:paraId="3496AA5E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B3E3A" w14:textId="77777777" w:rsidR="00DF6570" w:rsidRPr="00F11963" w:rsidRDefault="00DF6570" w:rsidP="00BA36AE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EF471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Digitalni urudžbeni zapisnik i sustav upravljanja dokumentima - FMS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D76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5</w:t>
            </w:r>
          </w:p>
        </w:tc>
      </w:tr>
      <w:tr w:rsidR="00973D43" w:rsidRPr="00F11963" w14:paraId="29A4EB3D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12997D" w14:textId="77777777" w:rsidR="00DF6570" w:rsidRPr="00F11963" w:rsidRDefault="00DF6570" w:rsidP="00D35EAC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1.12.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712DF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Pumpa malih protoka za vodu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D345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3</w:t>
            </w:r>
          </w:p>
        </w:tc>
      </w:tr>
      <w:tr w:rsidR="00973D43" w:rsidRPr="00F11963" w14:paraId="552C4895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E14FAA" w14:textId="77777777" w:rsidR="00DF6570" w:rsidRPr="00F11963" w:rsidRDefault="00DF6570" w:rsidP="00D35EAC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1.13.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9F1B0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>Komunikacijski uređaji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9F157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3</w:t>
            </w:r>
          </w:p>
        </w:tc>
      </w:tr>
      <w:tr w:rsidR="00973D43" w:rsidRPr="00F11963" w14:paraId="3BDA6977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95BE4" w14:textId="77777777" w:rsidR="00DF6570" w:rsidRPr="00F11963" w:rsidRDefault="00DF6570" w:rsidP="00D35EAC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1.14.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6F28C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 xml:space="preserve">Industrijski </w:t>
            </w:r>
            <w:proofErr w:type="spellStart"/>
            <w:r w:rsidRPr="00F11963">
              <w:rPr>
                <w:lang w:val="hr-HR"/>
              </w:rPr>
              <w:t>konduktometar</w:t>
            </w:r>
            <w:proofErr w:type="spellEnd"/>
            <w:r w:rsidRPr="00F11963">
              <w:rPr>
                <w:lang w:val="hr-HR"/>
              </w:rPr>
              <w:t xml:space="preserve"> sa senzorima vodljivosti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3D1F4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2</w:t>
            </w:r>
          </w:p>
        </w:tc>
      </w:tr>
      <w:tr w:rsidR="00973D43" w:rsidRPr="00F11963" w14:paraId="42721FAD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0CBC51" w14:textId="77777777" w:rsidR="00DF6570" w:rsidRPr="00F11963" w:rsidRDefault="00DF6570" w:rsidP="00D35EAC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1.15.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A15136" w14:textId="77777777" w:rsidR="00DF6570" w:rsidRPr="00F11963" w:rsidRDefault="001A2F40" w:rsidP="001A2F40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r w:rsidRPr="00F11963">
              <w:rPr>
                <w:lang w:val="hr-HR"/>
              </w:rPr>
              <w:t xml:space="preserve">Licenca </w:t>
            </w:r>
            <w:proofErr w:type="spellStart"/>
            <w:r w:rsidRPr="00F11963">
              <w:rPr>
                <w:lang w:val="hr-HR"/>
              </w:rPr>
              <w:t>VMWare</w:t>
            </w:r>
            <w:proofErr w:type="spellEnd"/>
            <w:r w:rsidRPr="00F11963">
              <w:rPr>
                <w:lang w:val="hr-HR"/>
              </w:rPr>
              <w:t xml:space="preserve"> Sphere6 </w:t>
            </w:r>
            <w:proofErr w:type="spellStart"/>
            <w:r w:rsidRPr="00F11963">
              <w:rPr>
                <w:lang w:val="hr-HR"/>
              </w:rPr>
              <w:t>essentials</w:t>
            </w:r>
            <w:proofErr w:type="spellEnd"/>
            <w:r w:rsidRPr="00F11963">
              <w:rPr>
                <w:lang w:val="hr-HR"/>
              </w:rPr>
              <w:t xml:space="preserve"> plus kit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539AC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2</w:t>
            </w:r>
          </w:p>
        </w:tc>
      </w:tr>
      <w:tr w:rsidR="00973D43" w:rsidRPr="00F11963" w14:paraId="72060042" w14:textId="77777777" w:rsidTr="00103292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5FF6C" w14:textId="77777777" w:rsidR="00DF6570" w:rsidRPr="00F11963" w:rsidRDefault="00DF6570" w:rsidP="00D35EAC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1.16.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4A854" w14:textId="77777777" w:rsidR="00DF6570" w:rsidRPr="00F11963" w:rsidRDefault="001A2F40" w:rsidP="00461DDB">
            <w:pPr>
              <w:spacing w:after="0" w:line="276" w:lineRule="auto"/>
              <w:ind w:left="0" w:firstLine="0"/>
              <w:jc w:val="left"/>
              <w:rPr>
                <w:lang w:val="hr-HR"/>
              </w:rPr>
            </w:pPr>
            <w:proofErr w:type="spellStart"/>
            <w:r w:rsidRPr="00F11963">
              <w:rPr>
                <w:lang w:val="hr-HR"/>
              </w:rPr>
              <w:t>Orginal</w:t>
            </w:r>
            <w:proofErr w:type="spellEnd"/>
            <w:r w:rsidRPr="00F11963">
              <w:rPr>
                <w:lang w:val="hr-HR"/>
              </w:rPr>
              <w:t xml:space="preserve"> Prusa MK4 3D printer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A6D0A" w14:textId="77777777" w:rsidR="00DF6570" w:rsidRPr="00F11963" w:rsidRDefault="00D133F0" w:rsidP="00791481">
            <w:pPr>
              <w:spacing w:after="0" w:line="276" w:lineRule="auto"/>
              <w:ind w:left="0" w:firstLine="0"/>
              <w:jc w:val="center"/>
              <w:rPr>
                <w:lang w:val="hr-HR"/>
              </w:rPr>
            </w:pPr>
            <w:r w:rsidRPr="00F11963">
              <w:rPr>
                <w:lang w:val="hr-HR"/>
              </w:rPr>
              <w:t>1</w:t>
            </w:r>
          </w:p>
        </w:tc>
      </w:tr>
      <w:tr w:rsidR="00973D43" w:rsidRPr="00F11963" w14:paraId="348E5858" w14:textId="77777777" w:rsidTr="00610787">
        <w:trPr>
          <w:trHeight w:val="4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6B44C5E8" w14:textId="77777777" w:rsidR="00DF6570" w:rsidRPr="00F11963" w:rsidRDefault="00DF6570" w:rsidP="00461DDB">
            <w:pPr>
              <w:spacing w:after="0" w:line="276" w:lineRule="auto"/>
              <w:ind w:left="0" w:firstLine="0"/>
              <w:jc w:val="center"/>
              <w:rPr>
                <w:b/>
                <w:lang w:val="hr-HR"/>
              </w:rPr>
            </w:pPr>
            <w:r w:rsidRPr="00F11963">
              <w:rPr>
                <w:b/>
                <w:lang w:val="hr-HR"/>
              </w:rPr>
              <w:t>1.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8693EB5" w14:textId="77777777" w:rsidR="00DF6570" w:rsidRPr="00F11963" w:rsidRDefault="00DF6570" w:rsidP="00461DDB">
            <w:pPr>
              <w:spacing w:after="0" w:line="276" w:lineRule="auto"/>
              <w:ind w:left="0" w:firstLine="0"/>
              <w:jc w:val="left"/>
              <w:rPr>
                <w:b/>
                <w:lang w:val="hr-HR"/>
              </w:rPr>
            </w:pPr>
            <w:r w:rsidRPr="00F11963">
              <w:rPr>
                <w:b/>
                <w:lang w:val="hr-HR"/>
              </w:rPr>
              <w:t>UKUPNO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8976F1D" w14:textId="77777777" w:rsidR="00DF6570" w:rsidRPr="00F11963" w:rsidRDefault="00D133F0" w:rsidP="00A36793">
            <w:pPr>
              <w:spacing w:after="0" w:line="276" w:lineRule="auto"/>
              <w:ind w:left="0" w:firstLine="0"/>
              <w:jc w:val="center"/>
              <w:rPr>
                <w:b/>
                <w:lang w:val="hr-HR"/>
              </w:rPr>
            </w:pPr>
            <w:r w:rsidRPr="00F11963">
              <w:rPr>
                <w:b/>
                <w:lang w:val="hr-HR"/>
              </w:rPr>
              <w:fldChar w:fldCharType="begin"/>
            </w:r>
            <w:r w:rsidRPr="00F11963">
              <w:rPr>
                <w:b/>
                <w:lang w:val="hr-HR"/>
              </w:rPr>
              <w:instrText xml:space="preserve"> =SUM(ABOVE) </w:instrText>
            </w:r>
            <w:r w:rsidRPr="00F11963">
              <w:rPr>
                <w:b/>
                <w:lang w:val="hr-HR"/>
              </w:rPr>
              <w:fldChar w:fldCharType="separate"/>
            </w:r>
            <w:r w:rsidRPr="00F11963">
              <w:rPr>
                <w:b/>
                <w:noProof/>
                <w:lang w:val="hr-HR"/>
              </w:rPr>
              <w:t>241</w:t>
            </w:r>
            <w:r w:rsidRPr="00F11963">
              <w:rPr>
                <w:b/>
                <w:lang w:val="hr-HR"/>
              </w:rPr>
              <w:fldChar w:fldCharType="end"/>
            </w:r>
          </w:p>
        </w:tc>
      </w:tr>
    </w:tbl>
    <w:p w14:paraId="53DFF345" w14:textId="77777777" w:rsidR="00C32233" w:rsidRPr="00F11963" w:rsidRDefault="00C32233" w:rsidP="00C32233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p w14:paraId="51848CF6" w14:textId="77777777" w:rsidR="00C32233" w:rsidRPr="00F11963" w:rsidRDefault="00C32233" w:rsidP="00C32233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p w14:paraId="65208C9C" w14:textId="77777777" w:rsidR="00341877" w:rsidRPr="00F11963" w:rsidRDefault="00AF45B0" w:rsidP="00341877">
      <w:pPr>
        <w:pStyle w:val="ListParagraph"/>
        <w:numPr>
          <w:ilvl w:val="0"/>
          <w:numId w:val="25"/>
        </w:numPr>
        <w:spacing w:after="0" w:line="276" w:lineRule="auto"/>
        <w:rPr>
          <w:sz w:val="22"/>
          <w:szCs w:val="22"/>
          <w:lang w:val="hr-HR"/>
        </w:rPr>
      </w:pPr>
      <w:r w:rsidRPr="00F11963">
        <w:rPr>
          <w:sz w:val="22"/>
          <w:szCs w:val="22"/>
          <w:lang w:val="hr-HR"/>
        </w:rPr>
        <w:lastRenderedPageBreak/>
        <w:t xml:space="preserve">Na </w:t>
      </w:r>
      <w:r w:rsidR="009A79C4" w:rsidRPr="00F11963">
        <w:rPr>
          <w:sz w:val="22"/>
          <w:szCs w:val="22"/>
          <w:lang w:val="hr-HR"/>
        </w:rPr>
        <w:t xml:space="preserve">poziciji </w:t>
      </w:r>
      <w:r w:rsidR="00341877" w:rsidRPr="00F11963">
        <w:rPr>
          <w:sz w:val="22"/>
          <w:szCs w:val="22"/>
          <w:lang w:val="hr-HR"/>
        </w:rPr>
        <w:t>Međusobne obveze proračunskih korisnika</w:t>
      </w:r>
      <w:r w:rsidRPr="00F11963">
        <w:rPr>
          <w:sz w:val="22"/>
          <w:szCs w:val="22"/>
          <w:lang w:val="hr-HR"/>
        </w:rPr>
        <w:t xml:space="preserve"> </w:t>
      </w:r>
      <w:r w:rsidR="009A79C4" w:rsidRPr="00F11963">
        <w:rPr>
          <w:sz w:val="22"/>
          <w:szCs w:val="22"/>
          <w:lang w:val="hr-HR"/>
        </w:rPr>
        <w:t xml:space="preserve">Obrazac: OBVEZE </w:t>
      </w:r>
      <w:r w:rsidR="00341877" w:rsidRPr="00F11963">
        <w:rPr>
          <w:sz w:val="22"/>
          <w:szCs w:val="22"/>
          <w:lang w:val="hr-HR"/>
        </w:rPr>
        <w:t xml:space="preserve">u iznosu od </w:t>
      </w:r>
      <w:r w:rsidR="005052BB" w:rsidRPr="00F11963">
        <w:rPr>
          <w:sz w:val="22"/>
          <w:szCs w:val="22"/>
          <w:lang w:val="hr-HR"/>
        </w:rPr>
        <w:t xml:space="preserve">123.078,35 eura </w:t>
      </w:r>
      <w:r w:rsidR="00C02EFB" w:rsidRPr="00F11963">
        <w:rPr>
          <w:sz w:val="22"/>
          <w:szCs w:val="22"/>
          <w:lang w:val="hr-HR"/>
        </w:rPr>
        <w:t>odnose se na</w:t>
      </w:r>
      <w:r w:rsidR="00341877" w:rsidRPr="00F11963">
        <w:rPr>
          <w:sz w:val="22"/>
          <w:szCs w:val="22"/>
          <w:lang w:val="hr-HR"/>
        </w:rPr>
        <w:t xml:space="preserve"> nedospjele obveze prema Sveučilištu u Splitu</w:t>
      </w:r>
      <w:r w:rsidR="00C707A4" w:rsidRPr="00F11963">
        <w:rPr>
          <w:sz w:val="22"/>
          <w:szCs w:val="22"/>
          <w:lang w:val="hr-HR"/>
        </w:rPr>
        <w:t>.</w:t>
      </w:r>
      <w:r w:rsidRPr="00F11963">
        <w:rPr>
          <w:sz w:val="22"/>
          <w:szCs w:val="22"/>
          <w:lang w:val="hr-HR"/>
        </w:rPr>
        <w:t xml:space="preserve"> </w:t>
      </w:r>
    </w:p>
    <w:p w14:paraId="2CBF354F" w14:textId="77777777" w:rsidR="005D3050" w:rsidRPr="00F11963" w:rsidRDefault="005D3050" w:rsidP="005D3050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3E6CDC1C" w14:textId="77777777" w:rsidR="005103FA" w:rsidRPr="00F11963" w:rsidRDefault="005103FA" w:rsidP="005103FA">
      <w:pPr>
        <w:pStyle w:val="ListParagraph"/>
        <w:spacing w:after="0" w:line="276" w:lineRule="auto"/>
        <w:ind w:left="360" w:firstLine="0"/>
        <w:rPr>
          <w:sz w:val="22"/>
          <w:szCs w:val="22"/>
          <w:lang w:val="hr-H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747"/>
        <w:gridCol w:w="1701"/>
      </w:tblGrid>
      <w:tr w:rsidR="005052BB" w:rsidRPr="00F11963" w14:paraId="6B064AC6" w14:textId="77777777" w:rsidTr="00C707A4">
        <w:trPr>
          <w:trHeight w:val="537"/>
        </w:trPr>
        <w:tc>
          <w:tcPr>
            <w:tcW w:w="661" w:type="dxa"/>
            <w:shd w:val="clear" w:color="auto" w:fill="D9D9D9"/>
            <w:vAlign w:val="center"/>
          </w:tcPr>
          <w:p w14:paraId="7144F1CA" w14:textId="77777777" w:rsidR="005103FA" w:rsidRPr="00F11963" w:rsidRDefault="005103FA" w:rsidP="00752288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>R.br.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7CFCC77E" w14:textId="77777777" w:rsidR="005103FA" w:rsidRPr="00F11963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>Međusobne obveze proračunskih korisnika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87E2962" w14:textId="77777777" w:rsidR="005103FA" w:rsidRPr="00F11963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>Iznos</w:t>
            </w:r>
          </w:p>
        </w:tc>
      </w:tr>
      <w:tr w:rsidR="005052BB" w:rsidRPr="00F11963" w14:paraId="3F232FF6" w14:textId="77777777" w:rsidTr="00C707A4">
        <w:tc>
          <w:tcPr>
            <w:tcW w:w="661" w:type="dxa"/>
            <w:shd w:val="clear" w:color="auto" w:fill="auto"/>
            <w:vAlign w:val="center"/>
          </w:tcPr>
          <w:p w14:paraId="6B6F7448" w14:textId="77777777" w:rsidR="005103FA" w:rsidRPr="00F11963" w:rsidRDefault="005103FA" w:rsidP="00C707A4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>1.</w:t>
            </w:r>
            <w:r w:rsidR="00C707A4" w:rsidRPr="00F11963">
              <w:rPr>
                <w:rFonts w:eastAsia="Calibri"/>
                <w:lang w:val="hr-HR" w:eastAsia="en-US"/>
              </w:rPr>
              <w:t>1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2DCCCCCB" w14:textId="77777777" w:rsidR="005103FA" w:rsidRPr="00F11963" w:rsidRDefault="005103FA" w:rsidP="005052BB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 xml:space="preserve">Obveza 15%  od uplaćenog iznosa za svakog upisanog studenta, koji nije obuhvaćen Ugovorom o programskom financiranju    </w:t>
            </w:r>
            <w:r w:rsidR="00C707A4" w:rsidRPr="00F11963">
              <w:rPr>
                <w:rFonts w:eastAsia="Calibri"/>
                <w:lang w:val="hr-HR" w:eastAsia="en-US"/>
              </w:rPr>
              <w:t>(</w:t>
            </w:r>
            <w:r w:rsidR="005052BB" w:rsidRPr="00F11963">
              <w:rPr>
                <w:rFonts w:eastAsia="Calibri"/>
                <w:lang w:val="hr-HR" w:eastAsia="en-US"/>
              </w:rPr>
              <w:t>1.097</w:t>
            </w:r>
            <w:r w:rsidR="00C707A4" w:rsidRPr="00F11963">
              <w:rPr>
                <w:rFonts w:eastAsia="Calibri"/>
                <w:lang w:val="hr-HR" w:eastAsia="en-US"/>
              </w:rPr>
              <w:t xml:space="preserve"> studenata)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94B1C" w14:textId="77777777" w:rsidR="005103FA" w:rsidRPr="00F11963" w:rsidRDefault="004F6F01" w:rsidP="005052BB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 xml:space="preserve">  </w:t>
            </w:r>
            <w:r w:rsidR="005052BB" w:rsidRPr="00F11963">
              <w:rPr>
                <w:rFonts w:eastAsia="Calibri"/>
                <w:lang w:val="hr-HR" w:eastAsia="en-US"/>
              </w:rPr>
              <w:t xml:space="preserve">116.261,83 </w:t>
            </w:r>
            <w:proofErr w:type="spellStart"/>
            <w:r w:rsidR="005052BB" w:rsidRPr="00F11963">
              <w:rPr>
                <w:rFonts w:eastAsia="Calibri"/>
                <w:lang w:val="hr-HR" w:eastAsia="en-US"/>
              </w:rPr>
              <w:t>eur</w:t>
            </w:r>
            <w:proofErr w:type="spellEnd"/>
          </w:p>
        </w:tc>
      </w:tr>
      <w:tr w:rsidR="005052BB" w:rsidRPr="00F11963" w14:paraId="30630D04" w14:textId="77777777" w:rsidTr="00C707A4">
        <w:tc>
          <w:tcPr>
            <w:tcW w:w="661" w:type="dxa"/>
            <w:shd w:val="clear" w:color="auto" w:fill="auto"/>
            <w:vAlign w:val="center"/>
          </w:tcPr>
          <w:p w14:paraId="43F3D273" w14:textId="77777777" w:rsidR="005103FA" w:rsidRPr="00F11963" w:rsidRDefault="005103FA" w:rsidP="00C707A4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>1.</w:t>
            </w:r>
            <w:r w:rsidR="00C707A4" w:rsidRPr="00F11963">
              <w:rPr>
                <w:rFonts w:eastAsia="Calibri"/>
                <w:lang w:val="hr-HR" w:eastAsia="en-US"/>
              </w:rPr>
              <w:t>2</w:t>
            </w:r>
          </w:p>
        </w:tc>
        <w:tc>
          <w:tcPr>
            <w:tcW w:w="4747" w:type="dxa"/>
            <w:shd w:val="clear" w:color="auto" w:fill="auto"/>
            <w:vAlign w:val="center"/>
          </w:tcPr>
          <w:p w14:paraId="7BDD56B2" w14:textId="77777777" w:rsidR="005103FA" w:rsidRPr="00F11963" w:rsidRDefault="005103FA" w:rsidP="005052BB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>Obveza 3% od vlastitih prihoda institucije u zadnjem tromjesečju 20</w:t>
            </w:r>
            <w:r w:rsidR="00C707A4" w:rsidRPr="00F11963">
              <w:rPr>
                <w:rFonts w:eastAsia="Calibri"/>
                <w:lang w:val="hr-HR" w:eastAsia="en-US"/>
              </w:rPr>
              <w:t>2</w:t>
            </w:r>
            <w:r w:rsidR="005052BB" w:rsidRPr="00F11963">
              <w:rPr>
                <w:rFonts w:eastAsia="Calibri"/>
                <w:lang w:val="hr-HR" w:eastAsia="en-US"/>
              </w:rPr>
              <w:t>3</w:t>
            </w:r>
            <w:r w:rsidRPr="00F11963">
              <w:rPr>
                <w:rFonts w:eastAsia="Calibri"/>
                <w:lang w:val="hr-HR" w:eastAsia="en-US"/>
              </w:rPr>
              <w:t>.g.</w:t>
            </w:r>
            <w:r w:rsidRPr="00F11963">
              <w:rPr>
                <w:rFonts w:eastAsia="Calibri"/>
                <w:lang w:val="hr-HR" w:eastAsia="en-US"/>
              </w:rPr>
              <w:tab/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3F175" w14:textId="77777777" w:rsidR="005103FA" w:rsidRPr="00F11963" w:rsidRDefault="00D672C9" w:rsidP="005052BB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lang w:val="hr-HR" w:eastAsia="en-US"/>
              </w:rPr>
            </w:pPr>
            <w:r w:rsidRPr="00F11963">
              <w:rPr>
                <w:rFonts w:eastAsia="Calibri"/>
                <w:lang w:val="hr-HR" w:eastAsia="en-US"/>
              </w:rPr>
              <w:t xml:space="preserve"> </w:t>
            </w:r>
            <w:r w:rsidR="004F6F01" w:rsidRPr="00F11963">
              <w:rPr>
                <w:rFonts w:eastAsia="Calibri"/>
                <w:lang w:val="hr-HR" w:eastAsia="en-US"/>
              </w:rPr>
              <w:t xml:space="preserve">  </w:t>
            </w:r>
            <w:r w:rsidRPr="00F11963">
              <w:rPr>
                <w:rFonts w:eastAsia="Calibri"/>
                <w:lang w:val="hr-HR" w:eastAsia="en-US"/>
              </w:rPr>
              <w:t xml:space="preserve"> </w:t>
            </w:r>
            <w:r w:rsidR="005052BB" w:rsidRPr="00F11963">
              <w:rPr>
                <w:rFonts w:eastAsia="Calibri"/>
                <w:lang w:val="hr-HR" w:eastAsia="en-US"/>
              </w:rPr>
              <w:t xml:space="preserve">  6.816,52 </w:t>
            </w:r>
            <w:proofErr w:type="spellStart"/>
            <w:r w:rsidR="005052BB" w:rsidRPr="00F11963">
              <w:rPr>
                <w:rFonts w:eastAsia="Calibri"/>
                <w:lang w:val="hr-HR" w:eastAsia="en-US"/>
              </w:rPr>
              <w:t>eur</w:t>
            </w:r>
            <w:proofErr w:type="spellEnd"/>
          </w:p>
        </w:tc>
      </w:tr>
      <w:tr w:rsidR="005052BB" w:rsidRPr="00F11963" w14:paraId="0A7F93DF" w14:textId="77777777" w:rsidTr="00C707A4">
        <w:trPr>
          <w:trHeight w:val="537"/>
        </w:trPr>
        <w:tc>
          <w:tcPr>
            <w:tcW w:w="661" w:type="dxa"/>
            <w:shd w:val="clear" w:color="auto" w:fill="D9D9D9"/>
            <w:vAlign w:val="center"/>
          </w:tcPr>
          <w:p w14:paraId="62F72180" w14:textId="77777777" w:rsidR="005103FA" w:rsidRPr="00F11963" w:rsidRDefault="005103FA" w:rsidP="00752288">
            <w:pPr>
              <w:pStyle w:val="ListParagraph"/>
              <w:spacing w:after="0" w:line="276" w:lineRule="auto"/>
              <w:ind w:left="0" w:firstLine="0"/>
              <w:jc w:val="center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>1.</w:t>
            </w:r>
          </w:p>
        </w:tc>
        <w:tc>
          <w:tcPr>
            <w:tcW w:w="4747" w:type="dxa"/>
            <w:shd w:val="clear" w:color="auto" w:fill="D9D9D9"/>
            <w:vAlign w:val="center"/>
          </w:tcPr>
          <w:p w14:paraId="3DCD1D8B" w14:textId="77777777" w:rsidR="005103FA" w:rsidRPr="00F11963" w:rsidRDefault="005103FA" w:rsidP="00752288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>UKUPNO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0F32282" w14:textId="77777777" w:rsidR="005103FA" w:rsidRPr="00F11963" w:rsidRDefault="001E381B" w:rsidP="009A79C4">
            <w:pPr>
              <w:pStyle w:val="ListParagraph"/>
              <w:spacing w:after="0" w:line="276" w:lineRule="auto"/>
              <w:ind w:left="0" w:firstLine="0"/>
              <w:jc w:val="left"/>
              <w:rPr>
                <w:rFonts w:eastAsia="Calibri"/>
                <w:b/>
                <w:lang w:val="hr-HR" w:eastAsia="en-US"/>
              </w:rPr>
            </w:pPr>
            <w:r w:rsidRPr="00F11963">
              <w:rPr>
                <w:rFonts w:eastAsia="Calibri"/>
                <w:b/>
                <w:lang w:val="hr-HR" w:eastAsia="en-US"/>
              </w:rPr>
              <w:t xml:space="preserve"> </w:t>
            </w:r>
            <w:r w:rsidR="005052BB" w:rsidRPr="00F11963">
              <w:rPr>
                <w:rFonts w:eastAsia="Calibri"/>
                <w:b/>
                <w:lang w:val="hr-HR" w:eastAsia="en-US"/>
              </w:rPr>
              <w:t xml:space="preserve">123.078,35 </w:t>
            </w:r>
            <w:proofErr w:type="spellStart"/>
            <w:r w:rsidR="005052BB" w:rsidRPr="00F11963">
              <w:rPr>
                <w:rFonts w:eastAsia="Calibri"/>
                <w:b/>
                <w:lang w:val="hr-HR" w:eastAsia="en-US"/>
              </w:rPr>
              <w:t>eur</w:t>
            </w:r>
            <w:proofErr w:type="spellEnd"/>
            <w:r w:rsidR="005103FA" w:rsidRPr="00F11963">
              <w:rPr>
                <w:rFonts w:eastAsia="Calibri"/>
                <w:b/>
                <w:lang w:val="hr-HR" w:eastAsia="en-US"/>
              </w:rPr>
              <w:t xml:space="preserve">     </w:t>
            </w:r>
          </w:p>
        </w:tc>
      </w:tr>
    </w:tbl>
    <w:p w14:paraId="5B587FCB" w14:textId="77777777" w:rsidR="00341877" w:rsidRPr="00F11963" w:rsidRDefault="00341877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6D2B7369" w14:textId="77777777" w:rsidR="00080691" w:rsidRDefault="00080691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tbl>
      <w:tblPr>
        <w:tblStyle w:val="MediumList11"/>
        <w:tblpPr w:leftFromText="181" w:rightFromText="181" w:vertAnchor="page" w:horzAnchor="margin" w:tblpX="108" w:tblpY="6637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512"/>
        <w:gridCol w:w="1512"/>
        <w:gridCol w:w="1512"/>
        <w:gridCol w:w="1510"/>
        <w:gridCol w:w="1504"/>
      </w:tblGrid>
      <w:tr w:rsidR="002F6E76" w:rsidRPr="00F646E3" w14:paraId="69073F51" w14:textId="77777777" w:rsidTr="002F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6F77171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rFonts w:eastAsiaTheme="minorEastAsia"/>
                <w:lang w:val="hr-HR"/>
              </w:rPr>
            </w:pPr>
            <w:r w:rsidRPr="00F646E3">
              <w:rPr>
                <w:rFonts w:eastAsiaTheme="minorEastAsia"/>
                <w:lang w:val="hr-HR"/>
              </w:rPr>
              <w:t>Račun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C7BDE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lang w:val="hr-HR"/>
              </w:rPr>
            </w:pPr>
            <w:r w:rsidRPr="00F646E3">
              <w:rPr>
                <w:rFonts w:eastAsiaTheme="minorEastAsia"/>
                <w:b/>
                <w:lang w:val="hr-HR"/>
              </w:rPr>
              <w:t>Opis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CD86E3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hr-HR"/>
              </w:rPr>
            </w:pPr>
            <w:r w:rsidRPr="00F646E3">
              <w:rPr>
                <w:rFonts w:eastAsiaTheme="minorEastAsia"/>
                <w:lang w:val="hr-HR"/>
              </w:rPr>
              <w:t xml:space="preserve">Stanje na </w:t>
            </w:r>
            <w:r w:rsidRPr="00F646E3">
              <w:rPr>
                <w:rFonts w:eastAsiaTheme="minorEastAsia"/>
                <w:b/>
                <w:lang w:val="hr-HR"/>
              </w:rPr>
              <w:t>31.12.2022.</w:t>
            </w:r>
            <w:r w:rsidRPr="00F646E3">
              <w:rPr>
                <w:rFonts w:eastAsiaTheme="minorEastAsia"/>
                <w:lang w:val="hr-HR"/>
              </w:rPr>
              <w:t xml:space="preserve"> Usklađena analitika i sintetika </w:t>
            </w:r>
            <w:r w:rsidRPr="00F646E3">
              <w:rPr>
                <w:rFonts w:eastAsiaTheme="minorEastAsia"/>
                <w:b/>
                <w:lang w:val="hr-HR"/>
              </w:rPr>
              <w:t>(kune)</w:t>
            </w:r>
          </w:p>
        </w:tc>
        <w:tc>
          <w:tcPr>
            <w:tcW w:w="84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BC73E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hr-HR"/>
              </w:rPr>
            </w:pPr>
            <w:r w:rsidRPr="00F646E3">
              <w:rPr>
                <w:rFonts w:eastAsiaTheme="minorEastAsia"/>
                <w:lang w:val="hr-HR"/>
              </w:rPr>
              <w:t xml:space="preserve">Stanje na </w:t>
            </w:r>
            <w:r w:rsidRPr="00F646E3">
              <w:rPr>
                <w:rFonts w:eastAsiaTheme="minorEastAsia"/>
                <w:b/>
                <w:lang w:val="hr-HR"/>
              </w:rPr>
              <w:t>01.01.2023.</w:t>
            </w:r>
            <w:r w:rsidRPr="00F646E3">
              <w:rPr>
                <w:rFonts w:eastAsiaTheme="minorEastAsia"/>
                <w:lang w:val="hr-HR"/>
              </w:rPr>
              <w:t xml:space="preserve"> Prenijeto sa sintetičkog računa Glavne knjige </w:t>
            </w:r>
            <w:r w:rsidRPr="00F646E3">
              <w:rPr>
                <w:rFonts w:eastAsiaTheme="minorEastAsia"/>
                <w:b/>
                <w:lang w:val="hr-HR"/>
              </w:rPr>
              <w:t>(euro)</w:t>
            </w:r>
          </w:p>
        </w:tc>
        <w:tc>
          <w:tcPr>
            <w:tcW w:w="843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B6482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hr-HR"/>
              </w:rPr>
            </w:pPr>
            <w:r w:rsidRPr="00F646E3">
              <w:rPr>
                <w:rFonts w:eastAsiaTheme="minorEastAsia"/>
                <w:lang w:val="hr-HR"/>
              </w:rPr>
              <w:t xml:space="preserve">Stanje na </w:t>
            </w:r>
            <w:r w:rsidRPr="00F646E3">
              <w:rPr>
                <w:rFonts w:eastAsiaTheme="minorEastAsia"/>
                <w:b/>
                <w:lang w:val="hr-HR"/>
              </w:rPr>
              <w:t>01.01.2023.</w:t>
            </w:r>
            <w:r w:rsidRPr="00F646E3">
              <w:rPr>
                <w:rFonts w:eastAsiaTheme="minorEastAsia"/>
                <w:lang w:val="hr-HR"/>
              </w:rPr>
              <w:t xml:space="preserve"> Prenijeto s analitičkih kartica </w:t>
            </w:r>
            <w:r w:rsidRPr="00F646E3">
              <w:rPr>
                <w:rFonts w:eastAsiaTheme="minorEastAsia"/>
                <w:b/>
                <w:lang w:val="hr-HR"/>
              </w:rPr>
              <w:t>(euro)</w:t>
            </w:r>
          </w:p>
        </w:tc>
        <w:tc>
          <w:tcPr>
            <w:tcW w:w="84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CFB8AC3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hr-HR"/>
              </w:rPr>
            </w:pPr>
            <w:r w:rsidRPr="00F646E3">
              <w:rPr>
                <w:rFonts w:eastAsiaTheme="minorEastAsia"/>
                <w:lang w:val="hr-HR"/>
              </w:rPr>
              <w:t xml:space="preserve">Razlika </w:t>
            </w:r>
            <w:r w:rsidRPr="00F646E3">
              <w:rPr>
                <w:rFonts w:eastAsiaTheme="minorEastAsia"/>
                <w:b/>
                <w:lang w:val="hr-HR"/>
              </w:rPr>
              <w:t>01.01.2023.</w:t>
            </w:r>
            <w:r w:rsidRPr="00F646E3">
              <w:rPr>
                <w:rFonts w:eastAsiaTheme="minorEastAsia"/>
                <w:lang w:val="hr-HR"/>
              </w:rPr>
              <w:t xml:space="preserve"> između sintetike i analitike </w:t>
            </w:r>
            <w:r w:rsidRPr="00F646E3">
              <w:rPr>
                <w:rFonts w:eastAsiaTheme="minorEastAsia"/>
                <w:b/>
                <w:lang w:val="hr-HR"/>
              </w:rPr>
              <w:t>(euro)</w:t>
            </w:r>
          </w:p>
        </w:tc>
      </w:tr>
      <w:tr w:rsidR="002F6E76" w:rsidRPr="00F646E3" w14:paraId="7D5A270D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shd w:val="clear" w:color="auto" w:fill="D9D9D9" w:themeFill="background1" w:themeFillShade="D9"/>
            <w:vAlign w:val="center"/>
          </w:tcPr>
          <w:p w14:paraId="5614F684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1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7D421BF6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2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6C37AFC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3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F5FC94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4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08BA5EA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5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70CCD6D2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6</w:t>
            </w:r>
          </w:p>
        </w:tc>
      </w:tr>
      <w:tr w:rsidR="002F6E76" w:rsidRPr="00F646E3" w14:paraId="430564B8" w14:textId="77777777" w:rsidTr="002F6E76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Align w:val="center"/>
          </w:tcPr>
          <w:p w14:paraId="06992C2A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</w:p>
        </w:tc>
        <w:tc>
          <w:tcPr>
            <w:tcW w:w="844" w:type="pct"/>
            <w:vAlign w:val="center"/>
          </w:tcPr>
          <w:p w14:paraId="3D400646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IMOVINA</w:t>
            </w:r>
          </w:p>
        </w:tc>
        <w:tc>
          <w:tcPr>
            <w:tcW w:w="844" w:type="pct"/>
            <w:vAlign w:val="center"/>
          </w:tcPr>
          <w:p w14:paraId="5C3D7C0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4" w:type="pct"/>
            <w:vAlign w:val="center"/>
          </w:tcPr>
          <w:p w14:paraId="3DCCE9A5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3" w:type="pct"/>
            <w:vAlign w:val="center"/>
          </w:tcPr>
          <w:p w14:paraId="792C407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1" w:type="pct"/>
            <w:vAlign w:val="center"/>
          </w:tcPr>
          <w:p w14:paraId="31B33502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F6E76" w:rsidRPr="00F646E3" w14:paraId="6183C039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shd w:val="clear" w:color="auto" w:fill="D9D9D9" w:themeFill="background1" w:themeFillShade="D9"/>
            <w:vAlign w:val="center"/>
          </w:tcPr>
          <w:p w14:paraId="40F5BC43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0 - 06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E4432E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Nefinancijska imovina umanjena za gotove proizvode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0960A1B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29.349.462,04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5B293B0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3.895.343,03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57CB63C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3.895.342,89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30C06F8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0,14</w:t>
            </w:r>
          </w:p>
        </w:tc>
      </w:tr>
      <w:tr w:rsidR="002F6E76" w:rsidRPr="00F646E3" w14:paraId="3AF7D549" w14:textId="77777777" w:rsidTr="002F6E76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vAlign w:val="center"/>
          </w:tcPr>
          <w:p w14:paraId="1672224D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</w:p>
        </w:tc>
        <w:tc>
          <w:tcPr>
            <w:tcW w:w="844" w:type="pct"/>
            <w:vAlign w:val="center"/>
          </w:tcPr>
          <w:p w14:paraId="339AA469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OBVEZE I VLASTITI IZVORI</w:t>
            </w:r>
          </w:p>
        </w:tc>
        <w:tc>
          <w:tcPr>
            <w:tcW w:w="844" w:type="pct"/>
            <w:vAlign w:val="center"/>
          </w:tcPr>
          <w:p w14:paraId="4EA23213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4" w:type="pct"/>
            <w:vAlign w:val="center"/>
          </w:tcPr>
          <w:p w14:paraId="3F67EC4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3" w:type="pct"/>
            <w:vAlign w:val="center"/>
          </w:tcPr>
          <w:p w14:paraId="10DF3BE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841" w:type="pct"/>
            <w:vAlign w:val="center"/>
          </w:tcPr>
          <w:p w14:paraId="5F0AC36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F6E76" w:rsidRPr="00F646E3" w14:paraId="0A1A270B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shd w:val="clear" w:color="auto" w:fill="D9D9D9" w:themeFill="background1" w:themeFillShade="D9"/>
            <w:vAlign w:val="center"/>
          </w:tcPr>
          <w:p w14:paraId="50BE1D32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91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2872F28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Vlastiti izvori i ispravak vlastitih izvora umanjen za depozite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5CCF56C5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29.349.462,04</w:t>
            </w:r>
          </w:p>
        </w:tc>
        <w:tc>
          <w:tcPr>
            <w:tcW w:w="844" w:type="pct"/>
            <w:shd w:val="clear" w:color="auto" w:fill="D9D9D9" w:themeFill="background1" w:themeFillShade="D9"/>
            <w:vAlign w:val="center"/>
          </w:tcPr>
          <w:p w14:paraId="1940BE14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3.895.343,03</w:t>
            </w:r>
          </w:p>
        </w:tc>
        <w:tc>
          <w:tcPr>
            <w:tcW w:w="843" w:type="pct"/>
            <w:shd w:val="clear" w:color="auto" w:fill="D9D9D9" w:themeFill="background1" w:themeFillShade="D9"/>
            <w:vAlign w:val="center"/>
          </w:tcPr>
          <w:p w14:paraId="63C8B81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3.895.342,89</w:t>
            </w:r>
          </w:p>
        </w:tc>
        <w:tc>
          <w:tcPr>
            <w:tcW w:w="841" w:type="pct"/>
            <w:shd w:val="clear" w:color="auto" w:fill="D9D9D9" w:themeFill="background1" w:themeFillShade="D9"/>
            <w:vAlign w:val="center"/>
          </w:tcPr>
          <w:p w14:paraId="264A43D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0,14</w:t>
            </w:r>
          </w:p>
        </w:tc>
      </w:tr>
    </w:tbl>
    <w:p w14:paraId="2858757D" w14:textId="77777777" w:rsidR="002F6E76" w:rsidRPr="00080691" w:rsidRDefault="002F6E76" w:rsidP="002F6E76">
      <w:pPr>
        <w:spacing w:after="200" w:line="276" w:lineRule="auto"/>
        <w:ind w:left="0" w:firstLine="0"/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hr-HR"/>
        </w:rPr>
      </w:pPr>
      <w:r w:rsidRPr="00080691">
        <w:rPr>
          <w:rFonts w:eastAsiaTheme="minorEastAsia"/>
          <w:b/>
          <w:bCs/>
          <w:color w:val="000000" w:themeColor="text1"/>
          <w:sz w:val="24"/>
          <w:szCs w:val="24"/>
          <w:u w:val="single"/>
          <w:lang w:val="hr-HR"/>
        </w:rPr>
        <w:t>Knjigovodstvene evidencije u procesu prelazaka sa kune u euro</w:t>
      </w:r>
    </w:p>
    <w:p w14:paraId="64A0017E" w14:textId="77777777" w:rsidR="00080691" w:rsidRDefault="00F646E3" w:rsidP="002F6E76">
      <w:pPr>
        <w:spacing w:after="0"/>
        <w:ind w:left="0" w:firstLine="0"/>
        <w:jc w:val="left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br w:type="page"/>
      </w:r>
    </w:p>
    <w:p w14:paraId="69662ABE" w14:textId="77777777" w:rsidR="00080691" w:rsidRPr="00080691" w:rsidRDefault="00080691" w:rsidP="00080691">
      <w:pPr>
        <w:spacing w:after="200" w:line="360" w:lineRule="auto"/>
        <w:ind w:left="0" w:firstLine="0"/>
        <w:jc w:val="left"/>
        <w:rPr>
          <w:rFonts w:eastAsiaTheme="minorEastAsia"/>
          <w:sz w:val="22"/>
          <w:szCs w:val="22"/>
          <w:lang w:val="hr-HR"/>
        </w:rPr>
      </w:pPr>
    </w:p>
    <w:p w14:paraId="0F82B16A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>Nakon konverzije kune u euro, 1.1.2023.</w:t>
      </w:r>
      <w:r>
        <w:rPr>
          <w:rFonts w:eastAsiaTheme="minorEastAsia"/>
          <w:sz w:val="22"/>
          <w:szCs w:val="22"/>
          <w:lang w:val="hr-HR"/>
        </w:rPr>
        <w:t xml:space="preserve"> </w:t>
      </w:r>
      <w:r w:rsidRPr="00080691">
        <w:rPr>
          <w:rFonts w:eastAsiaTheme="minorEastAsia"/>
          <w:sz w:val="22"/>
          <w:szCs w:val="22"/>
          <w:lang w:val="hr-HR"/>
        </w:rPr>
        <w:t xml:space="preserve">zbroj pojedinačnih analitičkih kartica na razredu „0“ </w:t>
      </w:r>
      <w:proofErr w:type="spellStart"/>
      <w:r w:rsidRPr="00080691">
        <w:rPr>
          <w:rFonts w:eastAsiaTheme="minorEastAsia"/>
          <w:sz w:val="22"/>
          <w:szCs w:val="22"/>
          <w:lang w:val="hr-HR"/>
        </w:rPr>
        <w:t>tj.razredu</w:t>
      </w:r>
      <w:proofErr w:type="spellEnd"/>
      <w:r w:rsidRPr="00080691">
        <w:rPr>
          <w:rFonts w:eastAsiaTheme="minorEastAsia"/>
          <w:sz w:val="22"/>
          <w:szCs w:val="22"/>
          <w:lang w:val="hr-HR"/>
        </w:rPr>
        <w:t xml:space="preserve"> nefinancijske imovine umanjene za gotove proizvode, razlikuje se za 0,14 eura u odnosu na stanje 31.12.2022. Stanje nefinancijske imovine umanjene za gotove proizvode na sintetičkom računu u glavnoj knjizi, 1.1.2023. preneseno je u iznosu 3.895.343,03 eura (stupac 4), odnosno za 0,14 eura (stupac 6) je veće od zbrojnih pojedinačnih analitičkih kartica zbog provedene konverzije i pravila za preračunavanje i zaokruživanje.</w:t>
      </w:r>
    </w:p>
    <w:p w14:paraId="23DCE2B0" w14:textId="77777777" w:rsid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>Radi usklađivanja sintetike i analitike, a poštujući pravila bilančne ravnoteže, u početnom stanju potrebno je provesti korekciju zbog razlike u preračunavanju i zaokruživanju te navedenu razliku u iznosu od 0,14 eura evidentirati u sintetici smanjenjem stanja na navedeni</w:t>
      </w:r>
      <w:r>
        <w:rPr>
          <w:rFonts w:eastAsiaTheme="minorEastAsia"/>
          <w:sz w:val="22"/>
          <w:szCs w:val="22"/>
          <w:lang w:val="hr-HR"/>
        </w:rPr>
        <w:t>m skupinama.</w:t>
      </w:r>
    </w:p>
    <w:tbl>
      <w:tblPr>
        <w:tblStyle w:val="MediumList12"/>
        <w:tblpPr w:leftFromText="180" w:rightFromText="180" w:vertAnchor="page" w:horzAnchor="margin" w:tblpX="108" w:tblpY="59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31"/>
        <w:gridCol w:w="1536"/>
        <w:gridCol w:w="1536"/>
        <w:gridCol w:w="1536"/>
        <w:gridCol w:w="1536"/>
      </w:tblGrid>
      <w:tr w:rsidR="002F6E76" w:rsidRPr="00F646E3" w14:paraId="297CB3C2" w14:textId="77777777" w:rsidTr="002F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F12FBC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Račun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C1292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Opis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35549C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31.12.2022.</w:t>
            </w:r>
            <w:r w:rsidRPr="00F646E3">
              <w:rPr>
                <w:lang w:val="hr-HR"/>
              </w:rPr>
              <w:t xml:space="preserve"> Usklađena analitika i sintetika </w:t>
            </w:r>
            <w:r w:rsidRPr="00F646E3">
              <w:rPr>
                <w:b/>
                <w:lang w:val="hr-HR"/>
              </w:rPr>
              <w:t>(kune)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FC84D4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Prenijeto sa sintetičkog računa Glavne knjige </w:t>
            </w:r>
            <w:r w:rsidRPr="00F646E3">
              <w:rPr>
                <w:b/>
                <w:lang w:val="hr-HR"/>
              </w:rPr>
              <w:t>(euro)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80869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Prenijeto s analitičkih kartica </w:t>
            </w:r>
            <w:r w:rsidRPr="00F646E3">
              <w:rPr>
                <w:b/>
                <w:lang w:val="hr-HR"/>
              </w:rPr>
              <w:t>(euro)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B7427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Razlika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između sintetike i analitike </w:t>
            </w:r>
            <w:r w:rsidRPr="00F646E3">
              <w:rPr>
                <w:b/>
                <w:lang w:val="hr-HR"/>
              </w:rPr>
              <w:t>(euro)</w:t>
            </w:r>
          </w:p>
        </w:tc>
      </w:tr>
      <w:tr w:rsidR="002F6E76" w:rsidRPr="00F646E3" w14:paraId="7806D3CB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D9D9D9" w:themeFill="background1" w:themeFillShade="D9"/>
            <w:vAlign w:val="center"/>
          </w:tcPr>
          <w:p w14:paraId="3008D0B3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D3B37D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2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43DA4AF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3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87B868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4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5E3DE5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5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1D5F43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6</w:t>
            </w:r>
          </w:p>
        </w:tc>
      </w:tr>
      <w:tr w:rsidR="002F6E76" w:rsidRPr="00F646E3" w14:paraId="35D810EA" w14:textId="77777777" w:rsidTr="002F6E76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14:paraId="38F80F94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1F7A6BE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IMOVINA</w:t>
            </w:r>
          </w:p>
        </w:tc>
        <w:tc>
          <w:tcPr>
            <w:tcW w:w="1548" w:type="dxa"/>
            <w:vAlign w:val="center"/>
          </w:tcPr>
          <w:p w14:paraId="368AF754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0C3F2D02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6EAE50E2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3061DFE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F6E76" w:rsidRPr="00F646E3" w14:paraId="4D34C738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shd w:val="clear" w:color="auto" w:fill="D9D9D9" w:themeFill="background1" w:themeFillShade="D9"/>
            <w:vAlign w:val="center"/>
          </w:tcPr>
          <w:p w14:paraId="3D0DB2FB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165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1981615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Potraživanja za prihode po posebnim propisima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29407B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1.316.961,48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3F9848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174.790,83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65ED31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174.790,51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ED5DAB9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0,32</w:t>
            </w:r>
          </w:p>
        </w:tc>
      </w:tr>
      <w:tr w:rsidR="002F6E76" w:rsidRPr="00F646E3" w14:paraId="781E30C4" w14:textId="77777777" w:rsidTr="002F6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  <w:vAlign w:val="center"/>
          </w:tcPr>
          <w:p w14:paraId="7CCB8B47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166</w:t>
            </w:r>
          </w:p>
        </w:tc>
        <w:tc>
          <w:tcPr>
            <w:tcW w:w="1548" w:type="dxa"/>
            <w:vAlign w:val="center"/>
          </w:tcPr>
          <w:p w14:paraId="27AB1E2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Potraživanja za prihode od pruženih usluga</w:t>
            </w:r>
          </w:p>
        </w:tc>
        <w:tc>
          <w:tcPr>
            <w:tcW w:w="1548" w:type="dxa"/>
            <w:vAlign w:val="center"/>
          </w:tcPr>
          <w:p w14:paraId="6AAF8AD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1.958.075,92</w:t>
            </w:r>
          </w:p>
        </w:tc>
        <w:tc>
          <w:tcPr>
            <w:tcW w:w="1548" w:type="dxa"/>
            <w:vAlign w:val="center"/>
          </w:tcPr>
          <w:p w14:paraId="6B6F26E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259.881,34</w:t>
            </w:r>
          </w:p>
        </w:tc>
        <w:tc>
          <w:tcPr>
            <w:tcW w:w="1548" w:type="dxa"/>
            <w:vAlign w:val="center"/>
          </w:tcPr>
          <w:p w14:paraId="2235992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259.881,66</w:t>
            </w:r>
          </w:p>
        </w:tc>
        <w:tc>
          <w:tcPr>
            <w:tcW w:w="1548" w:type="dxa"/>
            <w:vAlign w:val="center"/>
          </w:tcPr>
          <w:p w14:paraId="7D426B6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- 0,32</w:t>
            </w:r>
          </w:p>
        </w:tc>
      </w:tr>
    </w:tbl>
    <w:p w14:paraId="3941C8D0" w14:textId="77777777" w:rsidR="00F646E3" w:rsidRDefault="00F646E3" w:rsidP="002F6E76">
      <w:pPr>
        <w:spacing w:after="0"/>
        <w:ind w:left="0" w:firstLine="0"/>
        <w:jc w:val="left"/>
        <w:rPr>
          <w:rFonts w:eastAsiaTheme="minorEastAsia"/>
          <w:sz w:val="22"/>
          <w:szCs w:val="22"/>
          <w:lang w:val="hr-HR"/>
        </w:rPr>
      </w:pPr>
    </w:p>
    <w:p w14:paraId="2BC1A5E9" w14:textId="77777777" w:rsidR="002F6E76" w:rsidRDefault="002F6E76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</w:p>
    <w:p w14:paraId="3F06A706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>Nakon konverzije kune u euro, 1.1.2023.</w:t>
      </w:r>
      <w:r w:rsidR="00CA1A31">
        <w:rPr>
          <w:rFonts w:eastAsiaTheme="minorEastAsia"/>
          <w:sz w:val="22"/>
          <w:szCs w:val="22"/>
          <w:lang w:val="hr-HR"/>
        </w:rPr>
        <w:t xml:space="preserve"> </w:t>
      </w:r>
      <w:r w:rsidRPr="00080691">
        <w:rPr>
          <w:rFonts w:eastAsiaTheme="minorEastAsia"/>
          <w:sz w:val="22"/>
          <w:szCs w:val="22"/>
          <w:lang w:val="hr-HR"/>
        </w:rPr>
        <w:t xml:space="preserve">zbroj pojedinačnih potraživanja na računu 165 po svakom obvezniku u analitičkim evidencijama iskazana su u eurima, te takva zbrojena u eurima ukupno iznose  174.790,51 </w:t>
      </w:r>
      <w:proofErr w:type="spellStart"/>
      <w:r w:rsidRPr="00080691">
        <w:rPr>
          <w:rFonts w:eastAsiaTheme="minorEastAsia"/>
          <w:sz w:val="22"/>
          <w:szCs w:val="22"/>
          <w:lang w:val="hr-HR"/>
        </w:rPr>
        <w:t>eur</w:t>
      </w:r>
      <w:proofErr w:type="spellEnd"/>
      <w:r w:rsidRPr="00080691">
        <w:rPr>
          <w:rFonts w:eastAsiaTheme="minorEastAsia"/>
          <w:sz w:val="22"/>
          <w:szCs w:val="22"/>
          <w:lang w:val="hr-HR"/>
        </w:rPr>
        <w:t xml:space="preserve"> (stupac 5). Međutim, stanje potraživanja iskazano na sintetičkom računu u glavnoj knjizi, 1.1.2023. preneseno je u iznosu 174.790,83 eura i razlikuje se za 0,32 eura u odnosu na stanje 31.12.2022. Radi usklađivanja sintetike i analitike, u početnom stanju potrebno je provesti korekciju zbog razlike u preračunavanju i zaokruživanju te navedenu razliku u iznosu od 0,32 eura evidentirati u sintetici smanjenjem stanja na računu 165.</w:t>
      </w:r>
    </w:p>
    <w:p w14:paraId="7D4260AD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 xml:space="preserve">Zbroj pojedinačnih potraživanja na računu 166 na dan 1.1.2023. po svakom obvezniku u analitičkim evidencijama iskazana su u eurima i takva zbrojena u eurima ukupno iznose  259.881,66 eura (stupac 5). Međutim, stanje potraživanja iskazano na sintetičkom računu u glavnoj knjizi, 1.1.2023. preneseno </w:t>
      </w:r>
      <w:r w:rsidRPr="00080691">
        <w:rPr>
          <w:rFonts w:eastAsiaTheme="minorEastAsia"/>
          <w:sz w:val="22"/>
          <w:szCs w:val="22"/>
          <w:lang w:val="hr-HR"/>
        </w:rPr>
        <w:lastRenderedPageBreak/>
        <w:t>je u iznosu 259.881,34 eura i razlikuje se za 0,32 eura u odnosu na stanje 31.12.2022. Radi usklađivanja sintetike i analitike, u početnom stanju potrebno je provesti korekciju zbog razlike u preračunavanju i zaokruživanju te navedenu razliku u iznosu od 0,32 eura evidentirati u sintetici povećanjem stanja na računu 165.</w:t>
      </w:r>
    </w:p>
    <w:p w14:paraId="7683C255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>Poštujući pravila bilančne ravnoteže, a budući da je ista  uspostavl</w:t>
      </w:r>
      <w:r>
        <w:rPr>
          <w:rFonts w:eastAsiaTheme="minorEastAsia"/>
          <w:sz w:val="22"/>
          <w:szCs w:val="22"/>
          <w:lang w:val="hr-HR"/>
        </w:rPr>
        <w:t xml:space="preserve">jena u imovinskim računima nije </w:t>
      </w:r>
      <w:r w:rsidRPr="00080691">
        <w:rPr>
          <w:rFonts w:eastAsiaTheme="minorEastAsia"/>
          <w:sz w:val="22"/>
          <w:szCs w:val="22"/>
          <w:lang w:val="hr-HR"/>
        </w:rPr>
        <w:t>bilo potrebe za korekciju na računu 96.</w:t>
      </w:r>
    </w:p>
    <w:tbl>
      <w:tblPr>
        <w:tblStyle w:val="MediumList13"/>
        <w:tblpPr w:leftFromText="180" w:rightFromText="180" w:vertAnchor="page" w:horzAnchor="margin" w:tblpY="4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1507"/>
        <w:gridCol w:w="1528"/>
        <w:gridCol w:w="1528"/>
        <w:gridCol w:w="1528"/>
        <w:gridCol w:w="1528"/>
      </w:tblGrid>
      <w:tr w:rsidR="002F6E76" w:rsidRPr="00F646E3" w14:paraId="352BAD60" w14:textId="77777777" w:rsidTr="002F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7C32FE4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Račun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610FEC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Opis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50B77B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31.12.2022.</w:t>
            </w:r>
            <w:r w:rsidRPr="00F646E3">
              <w:rPr>
                <w:lang w:val="hr-HR"/>
              </w:rPr>
              <w:t xml:space="preserve"> Usklađena analitika i sintetika </w:t>
            </w:r>
            <w:r w:rsidRPr="00F646E3">
              <w:rPr>
                <w:b/>
                <w:lang w:val="hr-HR"/>
              </w:rPr>
              <w:t>(kune)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FD0D7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Prenijeto sa sintetičkog računa Glavne knjige </w:t>
            </w:r>
            <w:r w:rsidRPr="00F646E3">
              <w:rPr>
                <w:b/>
                <w:lang w:val="hr-HR"/>
              </w:rPr>
              <w:t>(euro)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F946A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Stanje na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Prenijeto s analitičkih kartica </w:t>
            </w:r>
            <w:r w:rsidRPr="00F646E3">
              <w:rPr>
                <w:b/>
                <w:lang w:val="hr-HR"/>
              </w:rPr>
              <w:t>(euro)</w:t>
            </w:r>
          </w:p>
        </w:tc>
        <w:tc>
          <w:tcPr>
            <w:tcW w:w="154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F171FC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 xml:space="preserve">Razlika </w:t>
            </w:r>
            <w:r w:rsidRPr="00F646E3">
              <w:rPr>
                <w:b/>
                <w:lang w:val="hr-HR"/>
              </w:rPr>
              <w:t>01.01.2023.</w:t>
            </w:r>
            <w:r w:rsidRPr="00F646E3">
              <w:rPr>
                <w:lang w:val="hr-HR"/>
              </w:rPr>
              <w:t xml:space="preserve"> između sintetike i analitike </w:t>
            </w:r>
            <w:r w:rsidRPr="00F646E3">
              <w:rPr>
                <w:b/>
                <w:lang w:val="hr-HR"/>
              </w:rPr>
              <w:t>(euro)</w:t>
            </w:r>
          </w:p>
        </w:tc>
      </w:tr>
      <w:tr w:rsidR="002F6E76" w:rsidRPr="00F646E3" w14:paraId="63E2D543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shd w:val="clear" w:color="auto" w:fill="D9D9D9" w:themeFill="background1" w:themeFillShade="D9"/>
            <w:vAlign w:val="center"/>
          </w:tcPr>
          <w:p w14:paraId="67A714D0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0FD660B5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2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E48BDD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3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7A8DDB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4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44F91AC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5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5B94508B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6</w:t>
            </w:r>
          </w:p>
        </w:tc>
      </w:tr>
      <w:tr w:rsidR="002F6E76" w:rsidRPr="00F646E3" w14:paraId="2E0306EE" w14:textId="77777777" w:rsidTr="002F6E76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14:paraId="101C5358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29B60EF1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OBVEZE I VLASTITI IZVORI</w:t>
            </w:r>
          </w:p>
        </w:tc>
        <w:tc>
          <w:tcPr>
            <w:tcW w:w="1548" w:type="dxa"/>
            <w:vAlign w:val="center"/>
          </w:tcPr>
          <w:p w14:paraId="48680153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5907BBD2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18BD4BF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  <w:tc>
          <w:tcPr>
            <w:tcW w:w="1548" w:type="dxa"/>
            <w:vAlign w:val="center"/>
          </w:tcPr>
          <w:p w14:paraId="31192DE9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</w:p>
        </w:tc>
      </w:tr>
      <w:tr w:rsidR="002F6E76" w:rsidRPr="00F646E3" w14:paraId="6EDC8AB9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shd w:val="clear" w:color="auto" w:fill="D9D9D9" w:themeFill="background1" w:themeFillShade="D9"/>
            <w:vAlign w:val="center"/>
          </w:tcPr>
          <w:p w14:paraId="452DB6A5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231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05C4BE26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Obveze za zaposlene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7BF61F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4.636.906,81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341F0AD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615.423,29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5F0A5F7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615.423,30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C1BBAD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0,01</w:t>
            </w:r>
          </w:p>
        </w:tc>
      </w:tr>
      <w:tr w:rsidR="002F6E76" w:rsidRPr="00F646E3" w14:paraId="19F14F3B" w14:textId="77777777" w:rsidTr="002F6E76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shd w:val="clear" w:color="auto" w:fill="FFFFFF" w:themeFill="background1"/>
            <w:vAlign w:val="center"/>
          </w:tcPr>
          <w:p w14:paraId="1DC2BE44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232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14:paraId="5309EF46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Obveze za materijalne rashode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14:paraId="3F2D2F97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722.281,15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14:paraId="4387818E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95.863,18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14:paraId="40820C49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95.863,17</w:t>
            </w:r>
          </w:p>
        </w:tc>
        <w:tc>
          <w:tcPr>
            <w:tcW w:w="1548" w:type="dxa"/>
            <w:shd w:val="clear" w:color="auto" w:fill="FFFFFF" w:themeFill="background1"/>
            <w:vAlign w:val="center"/>
          </w:tcPr>
          <w:p w14:paraId="581E355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- 0,01</w:t>
            </w:r>
          </w:p>
        </w:tc>
      </w:tr>
      <w:tr w:rsidR="002F6E76" w:rsidRPr="00F646E3" w14:paraId="287ADFA2" w14:textId="77777777" w:rsidTr="002F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shd w:val="clear" w:color="auto" w:fill="D9D9D9" w:themeFill="background1" w:themeFillShade="D9"/>
            <w:vAlign w:val="center"/>
          </w:tcPr>
          <w:p w14:paraId="5979513D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239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E2E83F4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Ostale tekuće obveze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988E59A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962.005,33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13DD4D7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127.680,05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2BF1A646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127.680,08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70848F50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0,03</w:t>
            </w:r>
          </w:p>
        </w:tc>
      </w:tr>
      <w:tr w:rsidR="002F6E76" w:rsidRPr="00F646E3" w14:paraId="62375DEF" w14:textId="77777777" w:rsidTr="002F6E76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  <w:vAlign w:val="center"/>
          </w:tcPr>
          <w:p w14:paraId="0CE20F2A" w14:textId="77777777" w:rsidR="002F6E76" w:rsidRPr="00F646E3" w:rsidRDefault="002F6E76" w:rsidP="002F6E76">
            <w:pPr>
              <w:spacing w:after="0"/>
              <w:ind w:left="0" w:firstLine="0"/>
              <w:jc w:val="center"/>
              <w:rPr>
                <w:lang w:val="hr-HR"/>
              </w:rPr>
            </w:pPr>
            <w:r w:rsidRPr="00F646E3">
              <w:rPr>
                <w:lang w:val="hr-HR"/>
              </w:rPr>
              <w:t>922</w:t>
            </w:r>
          </w:p>
        </w:tc>
        <w:tc>
          <w:tcPr>
            <w:tcW w:w="1548" w:type="dxa"/>
            <w:vAlign w:val="center"/>
          </w:tcPr>
          <w:p w14:paraId="576C7268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hr-HR"/>
              </w:rPr>
            </w:pPr>
            <w:r w:rsidRPr="00F646E3">
              <w:rPr>
                <w:b/>
                <w:lang w:val="hr-HR"/>
              </w:rPr>
              <w:t>Rezultat poslovanja</w:t>
            </w:r>
          </w:p>
        </w:tc>
        <w:tc>
          <w:tcPr>
            <w:tcW w:w="1548" w:type="dxa"/>
            <w:vAlign w:val="center"/>
          </w:tcPr>
          <w:p w14:paraId="766DE9CD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5.056.976,27</w:t>
            </w:r>
          </w:p>
        </w:tc>
        <w:tc>
          <w:tcPr>
            <w:tcW w:w="1548" w:type="dxa"/>
            <w:vAlign w:val="center"/>
          </w:tcPr>
          <w:p w14:paraId="71AF5E7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671.176,09</w:t>
            </w:r>
          </w:p>
        </w:tc>
        <w:tc>
          <w:tcPr>
            <w:tcW w:w="1548" w:type="dxa"/>
            <w:vAlign w:val="center"/>
          </w:tcPr>
          <w:p w14:paraId="6FC9263F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671.176,06</w:t>
            </w:r>
          </w:p>
        </w:tc>
        <w:tc>
          <w:tcPr>
            <w:tcW w:w="1548" w:type="dxa"/>
            <w:vAlign w:val="center"/>
          </w:tcPr>
          <w:p w14:paraId="12CD1F53" w14:textId="77777777" w:rsidR="002F6E76" w:rsidRPr="00F646E3" w:rsidRDefault="002F6E76" w:rsidP="002F6E76">
            <w:pPr>
              <w:spacing w:after="0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hr-HR"/>
              </w:rPr>
            </w:pPr>
            <w:r w:rsidRPr="00F646E3">
              <w:rPr>
                <w:lang w:val="hr-HR"/>
              </w:rPr>
              <w:t>- 0,03</w:t>
            </w:r>
          </w:p>
        </w:tc>
      </w:tr>
    </w:tbl>
    <w:p w14:paraId="011B8F2B" w14:textId="77777777" w:rsidR="00F646E3" w:rsidRPr="00DA1A00" w:rsidRDefault="00F646E3" w:rsidP="00DA1A00">
      <w:pPr>
        <w:spacing w:after="0"/>
        <w:ind w:left="0" w:firstLine="0"/>
        <w:jc w:val="left"/>
        <w:rPr>
          <w:rFonts w:asciiTheme="minorHAnsi" w:eastAsiaTheme="minorEastAsia" w:hAnsiTheme="minorHAnsi" w:cstheme="minorBidi"/>
          <w:sz w:val="22"/>
          <w:szCs w:val="22"/>
          <w:lang w:val="hr-HR"/>
        </w:rPr>
      </w:pPr>
      <w:r>
        <w:rPr>
          <w:rFonts w:asciiTheme="minorHAnsi" w:eastAsiaTheme="minorEastAsia" w:hAnsiTheme="minorHAnsi" w:cstheme="minorBidi"/>
          <w:sz w:val="22"/>
          <w:szCs w:val="22"/>
          <w:lang w:val="hr-HR"/>
        </w:rPr>
        <w:br w:type="page"/>
      </w:r>
    </w:p>
    <w:p w14:paraId="195002F8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lastRenderedPageBreak/>
        <w:t>Nakon konverzije kune u euro, 1.1.2023.</w:t>
      </w:r>
      <w:r w:rsidR="00233C91">
        <w:rPr>
          <w:rFonts w:eastAsiaTheme="minorEastAsia"/>
          <w:sz w:val="22"/>
          <w:szCs w:val="22"/>
          <w:lang w:val="hr-HR"/>
        </w:rPr>
        <w:t xml:space="preserve"> </w:t>
      </w:r>
      <w:r w:rsidRPr="00080691">
        <w:rPr>
          <w:rFonts w:eastAsiaTheme="minorEastAsia"/>
          <w:sz w:val="22"/>
          <w:szCs w:val="22"/>
          <w:lang w:val="hr-HR"/>
        </w:rPr>
        <w:t xml:space="preserve">zbroj pojedinačnih obveza na računima 231,232 i 239 po svakom obvezniku u analitičkim evidencijama iskazane su u eurima, te tako zbrojena u eurima ukupno iznose  838.966,55 eura (stupac 5). Međutim, stanje obveza iskazano na sintetičkom računu u glavnoj knjizi, 1.1.2023. preneseno je u iznosu 838.966,52 eura i razlikuje se za 0,03 eura u odnosu na stanje 31.12.2022. Radi usklađivanja sintetike i analitike, u početnom stanju potrebno je provesti korekciju zbog razlike u preračunavanju i zaokruživanju i to povećanjem stanja na računu 231 za 0,01 </w:t>
      </w:r>
      <w:proofErr w:type="spellStart"/>
      <w:r w:rsidRPr="00080691">
        <w:rPr>
          <w:rFonts w:eastAsiaTheme="minorEastAsia"/>
          <w:sz w:val="22"/>
          <w:szCs w:val="22"/>
          <w:lang w:val="hr-HR"/>
        </w:rPr>
        <w:t>eur</w:t>
      </w:r>
      <w:proofErr w:type="spellEnd"/>
      <w:r w:rsidRPr="00080691">
        <w:rPr>
          <w:rFonts w:eastAsiaTheme="minorEastAsia"/>
          <w:sz w:val="22"/>
          <w:szCs w:val="22"/>
          <w:lang w:val="hr-HR"/>
        </w:rPr>
        <w:t xml:space="preserve">,  smanjenjem stanja na računu 232 za 0,01 </w:t>
      </w:r>
      <w:proofErr w:type="spellStart"/>
      <w:r w:rsidRPr="00080691">
        <w:rPr>
          <w:rFonts w:eastAsiaTheme="minorEastAsia"/>
          <w:sz w:val="22"/>
          <w:szCs w:val="22"/>
          <w:lang w:val="hr-HR"/>
        </w:rPr>
        <w:t>eur</w:t>
      </w:r>
      <w:proofErr w:type="spellEnd"/>
      <w:r w:rsidRPr="00080691">
        <w:rPr>
          <w:rFonts w:eastAsiaTheme="minorEastAsia"/>
          <w:sz w:val="22"/>
          <w:szCs w:val="22"/>
          <w:lang w:val="hr-HR"/>
        </w:rPr>
        <w:t xml:space="preserve">, te razliku u iznosu od 0,03 eura evidentirati u sintetici povećanjem stanja na računu 239. </w:t>
      </w:r>
    </w:p>
    <w:p w14:paraId="2D8EAD3A" w14:textId="77777777" w:rsidR="00080691" w:rsidRPr="00080691" w:rsidRDefault="00080691" w:rsidP="00080691">
      <w:pPr>
        <w:spacing w:after="200" w:line="360" w:lineRule="auto"/>
        <w:ind w:left="0" w:firstLine="0"/>
        <w:rPr>
          <w:rFonts w:eastAsiaTheme="minorEastAsia"/>
          <w:sz w:val="22"/>
          <w:szCs w:val="22"/>
          <w:lang w:val="hr-HR"/>
        </w:rPr>
      </w:pPr>
      <w:r w:rsidRPr="00080691">
        <w:rPr>
          <w:rFonts w:eastAsiaTheme="minorEastAsia"/>
          <w:sz w:val="22"/>
          <w:szCs w:val="22"/>
          <w:lang w:val="hr-HR"/>
        </w:rPr>
        <w:t xml:space="preserve">Poštujući pravila bilančne ravnoteže, u početnom stanju potrebno je provesti korekciju smanjenja rezultata poslovanja u </w:t>
      </w:r>
      <w:proofErr w:type="spellStart"/>
      <w:r w:rsidRPr="00080691">
        <w:rPr>
          <w:rFonts w:eastAsiaTheme="minorEastAsia"/>
          <w:sz w:val="22"/>
          <w:szCs w:val="22"/>
          <w:lang w:val="hr-HR"/>
        </w:rPr>
        <w:t>izosu</w:t>
      </w:r>
      <w:proofErr w:type="spellEnd"/>
      <w:r w:rsidRPr="00080691">
        <w:rPr>
          <w:rFonts w:eastAsiaTheme="minorEastAsia"/>
          <w:sz w:val="22"/>
          <w:szCs w:val="22"/>
          <w:lang w:val="hr-HR"/>
        </w:rPr>
        <w:t xml:space="preserve"> 0,03 eura. </w:t>
      </w:r>
    </w:p>
    <w:p w14:paraId="559853D6" w14:textId="77777777" w:rsidR="00080691" w:rsidRPr="00080691" w:rsidRDefault="00080691" w:rsidP="00080691">
      <w:pPr>
        <w:spacing w:after="200" w:line="276" w:lineRule="auto"/>
        <w:ind w:left="0" w:firstLine="0"/>
        <w:jc w:val="left"/>
        <w:rPr>
          <w:rFonts w:asciiTheme="minorHAnsi" w:eastAsiaTheme="minorEastAsia" w:hAnsiTheme="minorHAnsi" w:cstheme="minorBidi"/>
          <w:sz w:val="22"/>
          <w:szCs w:val="22"/>
          <w:lang w:val="hr-HR"/>
        </w:rPr>
      </w:pPr>
    </w:p>
    <w:p w14:paraId="4FD51F0E" w14:textId="77777777" w:rsidR="00080691" w:rsidRPr="00080691" w:rsidRDefault="00080691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3E154A3B" w14:textId="77777777" w:rsidR="003D1686" w:rsidRPr="00080691" w:rsidRDefault="003D1686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51CD93B9" w14:textId="77777777" w:rsidR="00FF0900" w:rsidRPr="00080691" w:rsidRDefault="00FF0900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56A8F553" w14:textId="77777777" w:rsidR="00FF0900" w:rsidRPr="00080691" w:rsidRDefault="00FF0900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2AD8582E" w14:textId="77777777" w:rsidR="00FF0900" w:rsidRPr="00080691" w:rsidRDefault="00FF0900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48BBAD2F" w14:textId="77777777" w:rsidR="003D1686" w:rsidRPr="00080691" w:rsidRDefault="003D1686" w:rsidP="00341877">
      <w:pPr>
        <w:pStyle w:val="ListParagraph"/>
        <w:spacing w:after="0" w:line="276" w:lineRule="auto"/>
        <w:ind w:left="0" w:firstLine="0"/>
        <w:rPr>
          <w:sz w:val="22"/>
          <w:szCs w:val="22"/>
          <w:lang w:val="hr-HR"/>
        </w:rPr>
      </w:pPr>
    </w:p>
    <w:p w14:paraId="62EFC10F" w14:textId="77777777" w:rsidR="00191671" w:rsidRPr="00080691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 w:rsidRPr="00080691">
        <w:rPr>
          <w:sz w:val="22"/>
          <w:szCs w:val="22"/>
          <w:lang w:val="hr-HR"/>
        </w:rPr>
        <w:tab/>
      </w:r>
      <w:r w:rsidR="002321C4" w:rsidRPr="00080691">
        <w:rPr>
          <w:sz w:val="22"/>
          <w:szCs w:val="22"/>
          <w:lang w:val="hr-HR"/>
        </w:rPr>
        <w:t>Voditeljica računovodstva</w:t>
      </w:r>
      <w:r w:rsidR="00191671" w:rsidRPr="00080691">
        <w:rPr>
          <w:sz w:val="22"/>
          <w:szCs w:val="22"/>
          <w:lang w:val="hr-HR"/>
        </w:rPr>
        <w:t>:</w:t>
      </w:r>
    </w:p>
    <w:p w14:paraId="22CE4640" w14:textId="77777777" w:rsidR="00040FE3" w:rsidRPr="00080691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 w:rsidRPr="00080691">
        <w:rPr>
          <w:sz w:val="22"/>
          <w:szCs w:val="22"/>
          <w:lang w:val="hr-HR"/>
        </w:rPr>
        <w:tab/>
        <w:t>______________________</w:t>
      </w:r>
    </w:p>
    <w:p w14:paraId="5E69CB02" w14:textId="77777777" w:rsidR="00C17F98" w:rsidRPr="00EF6335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 w:rsidRPr="00EF6335">
        <w:rPr>
          <w:sz w:val="22"/>
          <w:szCs w:val="22"/>
          <w:lang w:val="hr-HR"/>
        </w:rPr>
        <w:tab/>
      </w:r>
      <w:r w:rsidR="00C17F98" w:rsidRPr="00EF6335">
        <w:rPr>
          <w:sz w:val="22"/>
          <w:szCs w:val="22"/>
          <w:lang w:val="hr-HR"/>
        </w:rPr>
        <w:t xml:space="preserve">Dajana </w:t>
      </w:r>
      <w:proofErr w:type="spellStart"/>
      <w:r w:rsidR="00C17F98" w:rsidRPr="00EF6335">
        <w:rPr>
          <w:sz w:val="22"/>
          <w:szCs w:val="22"/>
          <w:lang w:val="hr-HR"/>
        </w:rPr>
        <w:t>Viđak</w:t>
      </w:r>
      <w:proofErr w:type="spellEnd"/>
      <w:r w:rsidR="00C17F98" w:rsidRPr="00EF6335">
        <w:rPr>
          <w:sz w:val="22"/>
          <w:szCs w:val="22"/>
          <w:lang w:val="hr-HR"/>
        </w:rPr>
        <w:t>, dipl.</w:t>
      </w:r>
      <w:r w:rsidR="00934ED5" w:rsidRPr="00EF6335">
        <w:rPr>
          <w:sz w:val="22"/>
          <w:szCs w:val="22"/>
          <w:lang w:val="hr-HR"/>
        </w:rPr>
        <w:t xml:space="preserve"> </w:t>
      </w:r>
      <w:proofErr w:type="spellStart"/>
      <w:r w:rsidR="00C17F98" w:rsidRPr="00EF6335">
        <w:rPr>
          <w:sz w:val="22"/>
          <w:szCs w:val="22"/>
          <w:lang w:val="hr-HR"/>
        </w:rPr>
        <w:t>oec</w:t>
      </w:r>
      <w:proofErr w:type="spellEnd"/>
      <w:r w:rsidR="00C17F98" w:rsidRPr="00EF6335">
        <w:rPr>
          <w:sz w:val="22"/>
          <w:szCs w:val="22"/>
          <w:lang w:val="hr-HR"/>
        </w:rPr>
        <w:t>.</w:t>
      </w:r>
    </w:p>
    <w:p w14:paraId="1B9DE9B0" w14:textId="77777777" w:rsidR="00254BB8" w:rsidRPr="00EF6335" w:rsidRDefault="00254BB8" w:rsidP="00461DDB">
      <w:pPr>
        <w:tabs>
          <w:tab w:val="left" w:pos="5103"/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</w:p>
    <w:p w14:paraId="141AD63D" w14:textId="77777777" w:rsidR="00254BB8" w:rsidRPr="00EF6335" w:rsidRDefault="00BC5D86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D</w:t>
      </w:r>
      <w:r w:rsidR="00254BB8" w:rsidRPr="00EF6335">
        <w:rPr>
          <w:sz w:val="22"/>
          <w:szCs w:val="22"/>
          <w:lang w:val="hr-HR"/>
        </w:rPr>
        <w:t>ekan</w:t>
      </w:r>
      <w:r w:rsidR="00782DDF" w:rsidRPr="00EF6335">
        <w:rPr>
          <w:sz w:val="22"/>
          <w:szCs w:val="22"/>
          <w:lang w:val="hr-HR"/>
        </w:rPr>
        <w:t>:</w:t>
      </w:r>
    </w:p>
    <w:p w14:paraId="649998B5" w14:textId="77777777" w:rsidR="00A22126" w:rsidRPr="00EF6335" w:rsidRDefault="00A22126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 w:rsidRPr="00EF6335">
        <w:rPr>
          <w:sz w:val="22"/>
          <w:szCs w:val="22"/>
          <w:lang w:val="hr-HR"/>
        </w:rPr>
        <w:tab/>
        <w:t>______________________</w:t>
      </w:r>
    </w:p>
    <w:p w14:paraId="73843A95" w14:textId="77777777" w:rsidR="00254BB8" w:rsidRPr="00EF6335" w:rsidRDefault="00254BB8" w:rsidP="00461DDB">
      <w:pPr>
        <w:tabs>
          <w:tab w:val="center" w:pos="6804"/>
        </w:tabs>
        <w:spacing w:line="276" w:lineRule="auto"/>
        <w:ind w:left="0" w:right="-2" w:firstLine="0"/>
        <w:rPr>
          <w:sz w:val="22"/>
          <w:szCs w:val="22"/>
          <w:lang w:val="hr-HR"/>
        </w:rPr>
      </w:pPr>
      <w:r w:rsidRPr="00EF6335">
        <w:rPr>
          <w:sz w:val="22"/>
          <w:szCs w:val="22"/>
          <w:lang w:val="hr-HR"/>
        </w:rPr>
        <w:tab/>
      </w:r>
      <w:r w:rsidR="00352E82" w:rsidRPr="00EF6335">
        <w:rPr>
          <w:sz w:val="22"/>
          <w:szCs w:val="22"/>
          <w:lang w:val="hr-HR"/>
        </w:rPr>
        <w:t>P</w:t>
      </w:r>
      <w:r w:rsidR="00DA1A00">
        <w:rPr>
          <w:sz w:val="22"/>
          <w:szCs w:val="22"/>
          <w:lang w:val="hr-HR"/>
        </w:rPr>
        <w:t xml:space="preserve">rof. </w:t>
      </w:r>
      <w:r w:rsidR="00C71F51" w:rsidRPr="00EF6335">
        <w:rPr>
          <w:sz w:val="22"/>
          <w:szCs w:val="22"/>
          <w:lang w:val="hr-HR"/>
        </w:rPr>
        <w:t>d</w:t>
      </w:r>
      <w:r w:rsidRPr="00EF6335">
        <w:rPr>
          <w:sz w:val="22"/>
          <w:szCs w:val="22"/>
          <w:lang w:val="hr-HR"/>
        </w:rPr>
        <w:t>r.</w:t>
      </w:r>
      <w:r w:rsidR="00DA1A00">
        <w:rPr>
          <w:sz w:val="22"/>
          <w:szCs w:val="22"/>
          <w:lang w:val="hr-HR"/>
        </w:rPr>
        <w:t xml:space="preserve"> </w:t>
      </w:r>
      <w:r w:rsidRPr="00EF6335">
        <w:rPr>
          <w:sz w:val="22"/>
          <w:szCs w:val="22"/>
          <w:lang w:val="hr-HR"/>
        </w:rPr>
        <w:t xml:space="preserve">sc. </w:t>
      </w:r>
      <w:r w:rsidR="008E60E8" w:rsidRPr="00EF6335">
        <w:rPr>
          <w:sz w:val="22"/>
          <w:szCs w:val="22"/>
          <w:lang w:val="hr-HR"/>
        </w:rPr>
        <w:t>Branimir Lela</w:t>
      </w:r>
    </w:p>
    <w:sectPr w:rsidR="00254BB8" w:rsidRPr="00EF6335" w:rsidSect="002F6E76">
      <w:pgSz w:w="11906" w:h="16838"/>
      <w:pgMar w:top="1276" w:right="1418" w:bottom="993" w:left="1418" w:header="142" w:footer="2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7BE7" w14:textId="77777777" w:rsidR="00931755" w:rsidRDefault="00931755">
      <w:r>
        <w:separator/>
      </w:r>
    </w:p>
  </w:endnote>
  <w:endnote w:type="continuationSeparator" w:id="0">
    <w:p w14:paraId="033BBB77" w14:textId="77777777" w:rsidR="00931755" w:rsidRDefault="0093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BE89" w14:textId="77777777" w:rsidR="00793511" w:rsidRDefault="007935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97C79">
      <w:rPr>
        <w:noProof/>
      </w:rPr>
      <w:t>1</w:t>
    </w:r>
    <w:r>
      <w:rPr>
        <w:noProof/>
      </w:rPr>
      <w:fldChar w:fldCharType="end"/>
    </w:r>
  </w:p>
  <w:p w14:paraId="4087594C" w14:textId="77777777" w:rsidR="00793511" w:rsidRDefault="00793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854D" w14:textId="77777777" w:rsidR="00793511" w:rsidRDefault="0079351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22671">
      <w:rPr>
        <w:noProof/>
      </w:rPr>
      <w:t>7</w:t>
    </w:r>
    <w:r>
      <w:rPr>
        <w:noProof/>
      </w:rPr>
      <w:fldChar w:fldCharType="end"/>
    </w:r>
  </w:p>
  <w:p w14:paraId="4CCB88FA" w14:textId="77777777" w:rsidR="00793511" w:rsidRDefault="00793511" w:rsidP="005E45B7">
    <w:pPr>
      <w:pStyle w:val="Footer"/>
      <w:ind w:hanging="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65F" w14:textId="77777777" w:rsidR="00931755" w:rsidRDefault="00931755">
      <w:r>
        <w:separator/>
      </w:r>
    </w:p>
  </w:footnote>
  <w:footnote w:type="continuationSeparator" w:id="0">
    <w:p w14:paraId="6A944BA4" w14:textId="77777777" w:rsidR="00931755" w:rsidRDefault="0093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113F" w14:textId="77777777" w:rsidR="00793511" w:rsidRDefault="00793511">
    <w:pPr>
      <w:pStyle w:val="Header"/>
    </w:pPr>
  </w:p>
  <w:p w14:paraId="21684AEC" w14:textId="77777777" w:rsidR="00793511" w:rsidRDefault="00793511" w:rsidP="005E45B7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675A"/>
    <w:multiLevelType w:val="hybridMultilevel"/>
    <w:tmpl w:val="F02E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826B3"/>
    <w:multiLevelType w:val="hybridMultilevel"/>
    <w:tmpl w:val="D2BE83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C3EBC"/>
    <w:multiLevelType w:val="hybridMultilevel"/>
    <w:tmpl w:val="EE84CC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A4329"/>
    <w:multiLevelType w:val="hybridMultilevel"/>
    <w:tmpl w:val="7B749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1706ED"/>
    <w:multiLevelType w:val="hybridMultilevel"/>
    <w:tmpl w:val="DBB8A7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C496B"/>
    <w:multiLevelType w:val="hybridMultilevel"/>
    <w:tmpl w:val="853A8662"/>
    <w:lvl w:ilvl="0" w:tplc="3222B64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676A83"/>
    <w:multiLevelType w:val="hybridMultilevel"/>
    <w:tmpl w:val="CE24F2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4349D"/>
    <w:multiLevelType w:val="hybridMultilevel"/>
    <w:tmpl w:val="024A3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B43A4"/>
    <w:multiLevelType w:val="hybridMultilevel"/>
    <w:tmpl w:val="EBC44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4875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2" w:tplc="7EEE11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2E7C86"/>
    <w:multiLevelType w:val="hybridMultilevel"/>
    <w:tmpl w:val="E3E66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A35B94"/>
    <w:multiLevelType w:val="hybridMultilevel"/>
    <w:tmpl w:val="02746D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C26675F"/>
    <w:multiLevelType w:val="hybridMultilevel"/>
    <w:tmpl w:val="5F4451D6"/>
    <w:lvl w:ilvl="0" w:tplc="15769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6228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E77C93"/>
    <w:multiLevelType w:val="hybridMultilevel"/>
    <w:tmpl w:val="B888E1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05707"/>
    <w:multiLevelType w:val="hybridMultilevel"/>
    <w:tmpl w:val="B5D402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34F268EC"/>
    <w:multiLevelType w:val="hybridMultilevel"/>
    <w:tmpl w:val="D9BA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C55CA"/>
    <w:multiLevelType w:val="hybridMultilevel"/>
    <w:tmpl w:val="EC4EE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90A85"/>
    <w:multiLevelType w:val="hybridMultilevel"/>
    <w:tmpl w:val="DCAC3A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57121"/>
    <w:multiLevelType w:val="hybridMultilevel"/>
    <w:tmpl w:val="B568E3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14342D"/>
    <w:multiLevelType w:val="hybridMultilevel"/>
    <w:tmpl w:val="AB0A1370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9" w15:restartNumberingAfterBreak="0">
    <w:nsid w:val="44150F66"/>
    <w:multiLevelType w:val="hybridMultilevel"/>
    <w:tmpl w:val="C158C62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0" w15:restartNumberingAfterBreak="0">
    <w:nsid w:val="486519FA"/>
    <w:multiLevelType w:val="hybridMultilevel"/>
    <w:tmpl w:val="6A024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BF0666"/>
    <w:multiLevelType w:val="hybridMultilevel"/>
    <w:tmpl w:val="33824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0338D"/>
    <w:multiLevelType w:val="hybridMultilevel"/>
    <w:tmpl w:val="FFB8B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E525BD"/>
    <w:multiLevelType w:val="hybridMultilevel"/>
    <w:tmpl w:val="2EE0C3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C5B2F"/>
    <w:multiLevelType w:val="hybridMultilevel"/>
    <w:tmpl w:val="024A35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82418"/>
    <w:multiLevelType w:val="hybridMultilevel"/>
    <w:tmpl w:val="DCF6603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FC651B5"/>
    <w:multiLevelType w:val="hybridMultilevel"/>
    <w:tmpl w:val="F08607D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4373AE"/>
    <w:multiLevelType w:val="hybridMultilevel"/>
    <w:tmpl w:val="48B6C9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F09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3181FD1"/>
    <w:multiLevelType w:val="hybridMultilevel"/>
    <w:tmpl w:val="CC86B1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386BF0"/>
    <w:multiLevelType w:val="hybridMultilevel"/>
    <w:tmpl w:val="2AD22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81BB1"/>
    <w:multiLevelType w:val="hybridMultilevel"/>
    <w:tmpl w:val="DC2AB650"/>
    <w:lvl w:ilvl="0" w:tplc="1E7CF294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75FB021E"/>
    <w:multiLevelType w:val="hybridMultilevel"/>
    <w:tmpl w:val="D2E2A3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83755"/>
    <w:multiLevelType w:val="hybridMultilevel"/>
    <w:tmpl w:val="F52AFC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536251"/>
    <w:multiLevelType w:val="hybridMultilevel"/>
    <w:tmpl w:val="350C7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F193F"/>
    <w:multiLevelType w:val="hybridMultilevel"/>
    <w:tmpl w:val="5DF298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DE5EE6"/>
    <w:multiLevelType w:val="hybridMultilevel"/>
    <w:tmpl w:val="F88CA96E"/>
    <w:lvl w:ilvl="0" w:tplc="D0BA24A4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7" w15:restartNumberingAfterBreak="0">
    <w:nsid w:val="7F5410DF"/>
    <w:multiLevelType w:val="hybridMultilevel"/>
    <w:tmpl w:val="718A32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37"/>
  </w:num>
  <w:num w:numId="5">
    <w:abstractNumId w:val="17"/>
  </w:num>
  <w:num w:numId="6">
    <w:abstractNumId w:val="16"/>
  </w:num>
  <w:num w:numId="7">
    <w:abstractNumId w:val="25"/>
  </w:num>
  <w:num w:numId="8">
    <w:abstractNumId w:val="35"/>
  </w:num>
  <w:num w:numId="9">
    <w:abstractNumId w:val="6"/>
  </w:num>
  <w:num w:numId="10">
    <w:abstractNumId w:val="8"/>
  </w:num>
  <w:num w:numId="11">
    <w:abstractNumId w:val="0"/>
  </w:num>
  <w:num w:numId="12">
    <w:abstractNumId w:val="20"/>
  </w:num>
  <w:num w:numId="13">
    <w:abstractNumId w:val="22"/>
  </w:num>
  <w:num w:numId="14">
    <w:abstractNumId w:val="10"/>
  </w:num>
  <w:num w:numId="15">
    <w:abstractNumId w:val="3"/>
  </w:num>
  <w:num w:numId="16">
    <w:abstractNumId w:val="27"/>
  </w:num>
  <w:num w:numId="17">
    <w:abstractNumId w:val="4"/>
  </w:num>
  <w:num w:numId="18">
    <w:abstractNumId w:val="30"/>
  </w:num>
  <w:num w:numId="19">
    <w:abstractNumId w:val="5"/>
  </w:num>
  <w:num w:numId="20">
    <w:abstractNumId w:val="15"/>
  </w:num>
  <w:num w:numId="21">
    <w:abstractNumId w:val="2"/>
  </w:num>
  <w:num w:numId="22">
    <w:abstractNumId w:val="9"/>
  </w:num>
  <w:num w:numId="23">
    <w:abstractNumId w:val="14"/>
  </w:num>
  <w:num w:numId="24">
    <w:abstractNumId w:val="28"/>
  </w:num>
  <w:num w:numId="25">
    <w:abstractNumId w:val="26"/>
  </w:num>
  <w:num w:numId="26">
    <w:abstractNumId w:val="32"/>
  </w:num>
  <w:num w:numId="27">
    <w:abstractNumId w:val="11"/>
  </w:num>
  <w:num w:numId="28">
    <w:abstractNumId w:val="1"/>
  </w:num>
  <w:num w:numId="29">
    <w:abstractNumId w:val="13"/>
  </w:num>
  <w:num w:numId="30">
    <w:abstractNumId w:val="21"/>
  </w:num>
  <w:num w:numId="31">
    <w:abstractNumId w:val="7"/>
  </w:num>
  <w:num w:numId="32">
    <w:abstractNumId w:val="24"/>
  </w:num>
  <w:num w:numId="33">
    <w:abstractNumId w:val="33"/>
  </w:num>
  <w:num w:numId="34">
    <w:abstractNumId w:val="12"/>
  </w:num>
  <w:num w:numId="35">
    <w:abstractNumId w:val="18"/>
  </w:num>
  <w:num w:numId="36">
    <w:abstractNumId w:val="19"/>
  </w:num>
  <w:num w:numId="37">
    <w:abstractNumId w:val="3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1"/>
    <w:rsid w:val="0000095C"/>
    <w:rsid w:val="00000DB9"/>
    <w:rsid w:val="0000108F"/>
    <w:rsid w:val="00001797"/>
    <w:rsid w:val="000020FC"/>
    <w:rsid w:val="000028C2"/>
    <w:rsid w:val="000043D1"/>
    <w:rsid w:val="00004DD7"/>
    <w:rsid w:val="00005854"/>
    <w:rsid w:val="00005AB4"/>
    <w:rsid w:val="00005C38"/>
    <w:rsid w:val="00006D74"/>
    <w:rsid w:val="0000798E"/>
    <w:rsid w:val="00007BA8"/>
    <w:rsid w:val="00007CB8"/>
    <w:rsid w:val="00007E2C"/>
    <w:rsid w:val="00010453"/>
    <w:rsid w:val="00010F9B"/>
    <w:rsid w:val="0001217B"/>
    <w:rsid w:val="00012966"/>
    <w:rsid w:val="00013E46"/>
    <w:rsid w:val="000141D5"/>
    <w:rsid w:val="000150DD"/>
    <w:rsid w:val="00015774"/>
    <w:rsid w:val="00016C11"/>
    <w:rsid w:val="00020EBD"/>
    <w:rsid w:val="000215AA"/>
    <w:rsid w:val="000249A3"/>
    <w:rsid w:val="00025614"/>
    <w:rsid w:val="00027D7D"/>
    <w:rsid w:val="00027E37"/>
    <w:rsid w:val="0003090D"/>
    <w:rsid w:val="00031333"/>
    <w:rsid w:val="000315E2"/>
    <w:rsid w:val="0003276F"/>
    <w:rsid w:val="00032D94"/>
    <w:rsid w:val="0003336A"/>
    <w:rsid w:val="00033713"/>
    <w:rsid w:val="00033895"/>
    <w:rsid w:val="000339B8"/>
    <w:rsid w:val="000343BE"/>
    <w:rsid w:val="00034A2C"/>
    <w:rsid w:val="00035704"/>
    <w:rsid w:val="00035C69"/>
    <w:rsid w:val="00035D3D"/>
    <w:rsid w:val="000373A6"/>
    <w:rsid w:val="00037A07"/>
    <w:rsid w:val="00040FE3"/>
    <w:rsid w:val="000418F1"/>
    <w:rsid w:val="00041E99"/>
    <w:rsid w:val="000429A9"/>
    <w:rsid w:val="000437AA"/>
    <w:rsid w:val="000448AD"/>
    <w:rsid w:val="000452E8"/>
    <w:rsid w:val="000453C2"/>
    <w:rsid w:val="00047592"/>
    <w:rsid w:val="000509BE"/>
    <w:rsid w:val="000511FC"/>
    <w:rsid w:val="00052174"/>
    <w:rsid w:val="0005219A"/>
    <w:rsid w:val="000534B2"/>
    <w:rsid w:val="000536AF"/>
    <w:rsid w:val="00054E0F"/>
    <w:rsid w:val="00054EB2"/>
    <w:rsid w:val="00055163"/>
    <w:rsid w:val="00057681"/>
    <w:rsid w:val="000576FC"/>
    <w:rsid w:val="0006059A"/>
    <w:rsid w:val="00062B3F"/>
    <w:rsid w:val="00063443"/>
    <w:rsid w:val="00063DB8"/>
    <w:rsid w:val="00064070"/>
    <w:rsid w:val="00064122"/>
    <w:rsid w:val="000710D5"/>
    <w:rsid w:val="00073265"/>
    <w:rsid w:val="00075594"/>
    <w:rsid w:val="0007670C"/>
    <w:rsid w:val="0007696B"/>
    <w:rsid w:val="00080691"/>
    <w:rsid w:val="00080DED"/>
    <w:rsid w:val="000829B7"/>
    <w:rsid w:val="00084A3C"/>
    <w:rsid w:val="00087C6F"/>
    <w:rsid w:val="00090711"/>
    <w:rsid w:val="00093218"/>
    <w:rsid w:val="00093935"/>
    <w:rsid w:val="0009785D"/>
    <w:rsid w:val="000A04E1"/>
    <w:rsid w:val="000A078B"/>
    <w:rsid w:val="000A0E76"/>
    <w:rsid w:val="000A1016"/>
    <w:rsid w:val="000A31D0"/>
    <w:rsid w:val="000A3540"/>
    <w:rsid w:val="000A4042"/>
    <w:rsid w:val="000A4595"/>
    <w:rsid w:val="000A502A"/>
    <w:rsid w:val="000A5DB0"/>
    <w:rsid w:val="000A6B49"/>
    <w:rsid w:val="000B008D"/>
    <w:rsid w:val="000B0D7B"/>
    <w:rsid w:val="000B2087"/>
    <w:rsid w:val="000B2612"/>
    <w:rsid w:val="000B2B5E"/>
    <w:rsid w:val="000B2BB3"/>
    <w:rsid w:val="000B40ED"/>
    <w:rsid w:val="000B45C9"/>
    <w:rsid w:val="000B46A0"/>
    <w:rsid w:val="000B5138"/>
    <w:rsid w:val="000B5530"/>
    <w:rsid w:val="000B7D44"/>
    <w:rsid w:val="000B7E20"/>
    <w:rsid w:val="000C09DE"/>
    <w:rsid w:val="000C0E22"/>
    <w:rsid w:val="000C0F35"/>
    <w:rsid w:val="000C2386"/>
    <w:rsid w:val="000C24DB"/>
    <w:rsid w:val="000C2E26"/>
    <w:rsid w:val="000C2E6E"/>
    <w:rsid w:val="000C32BE"/>
    <w:rsid w:val="000C40D6"/>
    <w:rsid w:val="000C47C5"/>
    <w:rsid w:val="000C525C"/>
    <w:rsid w:val="000C54D6"/>
    <w:rsid w:val="000C609E"/>
    <w:rsid w:val="000C60A3"/>
    <w:rsid w:val="000C6F05"/>
    <w:rsid w:val="000D0220"/>
    <w:rsid w:val="000D0273"/>
    <w:rsid w:val="000D05F0"/>
    <w:rsid w:val="000D2150"/>
    <w:rsid w:val="000D219D"/>
    <w:rsid w:val="000D32F9"/>
    <w:rsid w:val="000D3D3C"/>
    <w:rsid w:val="000D4016"/>
    <w:rsid w:val="000D4E49"/>
    <w:rsid w:val="000D796C"/>
    <w:rsid w:val="000E095A"/>
    <w:rsid w:val="000E217F"/>
    <w:rsid w:val="000E2837"/>
    <w:rsid w:val="000E50F4"/>
    <w:rsid w:val="000E53A1"/>
    <w:rsid w:val="000E5810"/>
    <w:rsid w:val="000E5BE9"/>
    <w:rsid w:val="000E5ED0"/>
    <w:rsid w:val="000E6959"/>
    <w:rsid w:val="000E7B24"/>
    <w:rsid w:val="000F0302"/>
    <w:rsid w:val="000F116B"/>
    <w:rsid w:val="000F1B0A"/>
    <w:rsid w:val="000F2833"/>
    <w:rsid w:val="000F2FE0"/>
    <w:rsid w:val="000F356E"/>
    <w:rsid w:val="000F3DAE"/>
    <w:rsid w:val="000F3E62"/>
    <w:rsid w:val="000F4029"/>
    <w:rsid w:val="000F487F"/>
    <w:rsid w:val="000F4B3B"/>
    <w:rsid w:val="000F4E1E"/>
    <w:rsid w:val="000F5539"/>
    <w:rsid w:val="000F6256"/>
    <w:rsid w:val="000F680B"/>
    <w:rsid w:val="000F734E"/>
    <w:rsid w:val="00102A2D"/>
    <w:rsid w:val="00102BD6"/>
    <w:rsid w:val="00102EC8"/>
    <w:rsid w:val="00103292"/>
    <w:rsid w:val="00103B7B"/>
    <w:rsid w:val="001043C5"/>
    <w:rsid w:val="001055B9"/>
    <w:rsid w:val="001062A9"/>
    <w:rsid w:val="001065C4"/>
    <w:rsid w:val="00107EDD"/>
    <w:rsid w:val="00110079"/>
    <w:rsid w:val="00110342"/>
    <w:rsid w:val="00111C22"/>
    <w:rsid w:val="00112561"/>
    <w:rsid w:val="0011356A"/>
    <w:rsid w:val="00114460"/>
    <w:rsid w:val="00115884"/>
    <w:rsid w:val="0011593B"/>
    <w:rsid w:val="0011631C"/>
    <w:rsid w:val="0011648A"/>
    <w:rsid w:val="0011720A"/>
    <w:rsid w:val="001173DF"/>
    <w:rsid w:val="00117539"/>
    <w:rsid w:val="001202AE"/>
    <w:rsid w:val="0012137F"/>
    <w:rsid w:val="00122A85"/>
    <w:rsid w:val="00123CAA"/>
    <w:rsid w:val="00124D03"/>
    <w:rsid w:val="001266A4"/>
    <w:rsid w:val="001301EF"/>
    <w:rsid w:val="00131BFE"/>
    <w:rsid w:val="001346BA"/>
    <w:rsid w:val="0013580A"/>
    <w:rsid w:val="00135B46"/>
    <w:rsid w:val="00136E12"/>
    <w:rsid w:val="00137E2B"/>
    <w:rsid w:val="001408E9"/>
    <w:rsid w:val="00141D12"/>
    <w:rsid w:val="00141F23"/>
    <w:rsid w:val="001438E2"/>
    <w:rsid w:val="00143977"/>
    <w:rsid w:val="00144307"/>
    <w:rsid w:val="00146E04"/>
    <w:rsid w:val="00146E87"/>
    <w:rsid w:val="0015245B"/>
    <w:rsid w:val="0015276B"/>
    <w:rsid w:val="00153FCF"/>
    <w:rsid w:val="00155ADA"/>
    <w:rsid w:val="00155DFC"/>
    <w:rsid w:val="00156E3C"/>
    <w:rsid w:val="00157CD3"/>
    <w:rsid w:val="00157EC4"/>
    <w:rsid w:val="00160A07"/>
    <w:rsid w:val="00162396"/>
    <w:rsid w:val="001625E0"/>
    <w:rsid w:val="00162C26"/>
    <w:rsid w:val="00162FCA"/>
    <w:rsid w:val="0016360E"/>
    <w:rsid w:val="00163BA7"/>
    <w:rsid w:val="0016531D"/>
    <w:rsid w:val="001658E8"/>
    <w:rsid w:val="00166850"/>
    <w:rsid w:val="00167239"/>
    <w:rsid w:val="0017053F"/>
    <w:rsid w:val="001706FE"/>
    <w:rsid w:val="001717F9"/>
    <w:rsid w:val="00173505"/>
    <w:rsid w:val="00173B47"/>
    <w:rsid w:val="00176439"/>
    <w:rsid w:val="00177938"/>
    <w:rsid w:val="001825BA"/>
    <w:rsid w:val="00182AAC"/>
    <w:rsid w:val="00182EC0"/>
    <w:rsid w:val="00183979"/>
    <w:rsid w:val="001842ED"/>
    <w:rsid w:val="0018440D"/>
    <w:rsid w:val="001867EC"/>
    <w:rsid w:val="001870F5"/>
    <w:rsid w:val="00187FBA"/>
    <w:rsid w:val="001911E9"/>
    <w:rsid w:val="00191671"/>
    <w:rsid w:val="001926BC"/>
    <w:rsid w:val="00192A45"/>
    <w:rsid w:val="00193515"/>
    <w:rsid w:val="0019395A"/>
    <w:rsid w:val="00194194"/>
    <w:rsid w:val="00194A0B"/>
    <w:rsid w:val="00195EF2"/>
    <w:rsid w:val="00196099"/>
    <w:rsid w:val="00196D11"/>
    <w:rsid w:val="00197C79"/>
    <w:rsid w:val="00197CA9"/>
    <w:rsid w:val="001A0440"/>
    <w:rsid w:val="001A2650"/>
    <w:rsid w:val="001A2F40"/>
    <w:rsid w:val="001A3F30"/>
    <w:rsid w:val="001A48DB"/>
    <w:rsid w:val="001A5391"/>
    <w:rsid w:val="001A5B70"/>
    <w:rsid w:val="001A620F"/>
    <w:rsid w:val="001A67D0"/>
    <w:rsid w:val="001A6BF8"/>
    <w:rsid w:val="001A6F5D"/>
    <w:rsid w:val="001A70F6"/>
    <w:rsid w:val="001A7318"/>
    <w:rsid w:val="001A7A46"/>
    <w:rsid w:val="001B0588"/>
    <w:rsid w:val="001B1CD8"/>
    <w:rsid w:val="001B2B0C"/>
    <w:rsid w:val="001B3122"/>
    <w:rsid w:val="001B3809"/>
    <w:rsid w:val="001B5788"/>
    <w:rsid w:val="001B5DBF"/>
    <w:rsid w:val="001B72FD"/>
    <w:rsid w:val="001C0192"/>
    <w:rsid w:val="001C093C"/>
    <w:rsid w:val="001C0DF3"/>
    <w:rsid w:val="001C1295"/>
    <w:rsid w:val="001C18C4"/>
    <w:rsid w:val="001C22F1"/>
    <w:rsid w:val="001C34C3"/>
    <w:rsid w:val="001C3565"/>
    <w:rsid w:val="001C3A25"/>
    <w:rsid w:val="001C5788"/>
    <w:rsid w:val="001C5A87"/>
    <w:rsid w:val="001C5ABA"/>
    <w:rsid w:val="001C6B6E"/>
    <w:rsid w:val="001C74F6"/>
    <w:rsid w:val="001D0BEF"/>
    <w:rsid w:val="001D13D5"/>
    <w:rsid w:val="001D195A"/>
    <w:rsid w:val="001D1B91"/>
    <w:rsid w:val="001D200A"/>
    <w:rsid w:val="001D295F"/>
    <w:rsid w:val="001D3B66"/>
    <w:rsid w:val="001D3D61"/>
    <w:rsid w:val="001D4287"/>
    <w:rsid w:val="001D594C"/>
    <w:rsid w:val="001D5E12"/>
    <w:rsid w:val="001E022F"/>
    <w:rsid w:val="001E0BF5"/>
    <w:rsid w:val="001E28F8"/>
    <w:rsid w:val="001E2B7B"/>
    <w:rsid w:val="001E2BD2"/>
    <w:rsid w:val="001E2E1E"/>
    <w:rsid w:val="001E381B"/>
    <w:rsid w:val="001E38B9"/>
    <w:rsid w:val="001E3C17"/>
    <w:rsid w:val="001E6BF4"/>
    <w:rsid w:val="001F00B8"/>
    <w:rsid w:val="001F02D0"/>
    <w:rsid w:val="001F116B"/>
    <w:rsid w:val="001F1989"/>
    <w:rsid w:val="001F3994"/>
    <w:rsid w:val="001F496E"/>
    <w:rsid w:val="001F5099"/>
    <w:rsid w:val="001F64E3"/>
    <w:rsid w:val="00200294"/>
    <w:rsid w:val="002012D7"/>
    <w:rsid w:val="00202288"/>
    <w:rsid w:val="002039B1"/>
    <w:rsid w:val="00204018"/>
    <w:rsid w:val="0020510E"/>
    <w:rsid w:val="0020645A"/>
    <w:rsid w:val="00206567"/>
    <w:rsid w:val="0021049F"/>
    <w:rsid w:val="00210CD0"/>
    <w:rsid w:val="00211AEC"/>
    <w:rsid w:val="002126E3"/>
    <w:rsid w:val="002129D3"/>
    <w:rsid w:val="00212A65"/>
    <w:rsid w:val="00213BA8"/>
    <w:rsid w:val="002177EB"/>
    <w:rsid w:val="002228D2"/>
    <w:rsid w:val="00224548"/>
    <w:rsid w:val="0022463D"/>
    <w:rsid w:val="00225669"/>
    <w:rsid w:val="00225D32"/>
    <w:rsid w:val="00225DAE"/>
    <w:rsid w:val="002267D8"/>
    <w:rsid w:val="00227BB9"/>
    <w:rsid w:val="00230DAF"/>
    <w:rsid w:val="002321C4"/>
    <w:rsid w:val="00233ABE"/>
    <w:rsid w:val="00233C91"/>
    <w:rsid w:val="00233E91"/>
    <w:rsid w:val="0023488A"/>
    <w:rsid w:val="00235C53"/>
    <w:rsid w:val="0023630B"/>
    <w:rsid w:val="002363A8"/>
    <w:rsid w:val="00236F81"/>
    <w:rsid w:val="0023748A"/>
    <w:rsid w:val="00240A15"/>
    <w:rsid w:val="00240D37"/>
    <w:rsid w:val="00242236"/>
    <w:rsid w:val="00243172"/>
    <w:rsid w:val="00243D17"/>
    <w:rsid w:val="002453B9"/>
    <w:rsid w:val="00245820"/>
    <w:rsid w:val="0024590D"/>
    <w:rsid w:val="00246872"/>
    <w:rsid w:val="00246D68"/>
    <w:rsid w:val="00247B9B"/>
    <w:rsid w:val="0025036E"/>
    <w:rsid w:val="00250805"/>
    <w:rsid w:val="00252693"/>
    <w:rsid w:val="00253CE5"/>
    <w:rsid w:val="00254BB8"/>
    <w:rsid w:val="00256186"/>
    <w:rsid w:val="002568EF"/>
    <w:rsid w:val="00260394"/>
    <w:rsid w:val="002615F5"/>
    <w:rsid w:val="00262036"/>
    <w:rsid w:val="002624E9"/>
    <w:rsid w:val="002626CE"/>
    <w:rsid w:val="00263661"/>
    <w:rsid w:val="002650EE"/>
    <w:rsid w:val="00266628"/>
    <w:rsid w:val="00270FE6"/>
    <w:rsid w:val="00271425"/>
    <w:rsid w:val="00271690"/>
    <w:rsid w:val="00272025"/>
    <w:rsid w:val="00272F28"/>
    <w:rsid w:val="00273D66"/>
    <w:rsid w:val="00273EDB"/>
    <w:rsid w:val="0027427F"/>
    <w:rsid w:val="00274D7A"/>
    <w:rsid w:val="00274FAC"/>
    <w:rsid w:val="00275475"/>
    <w:rsid w:val="00275487"/>
    <w:rsid w:val="0027642A"/>
    <w:rsid w:val="0028058B"/>
    <w:rsid w:val="002808F8"/>
    <w:rsid w:val="00281372"/>
    <w:rsid w:val="00281EDD"/>
    <w:rsid w:val="00282036"/>
    <w:rsid w:val="00282BED"/>
    <w:rsid w:val="00283183"/>
    <w:rsid w:val="002841B4"/>
    <w:rsid w:val="002851FE"/>
    <w:rsid w:val="00285987"/>
    <w:rsid w:val="002869B6"/>
    <w:rsid w:val="002910D1"/>
    <w:rsid w:val="00292421"/>
    <w:rsid w:val="00292E4A"/>
    <w:rsid w:val="00293D32"/>
    <w:rsid w:val="00294609"/>
    <w:rsid w:val="00294D0E"/>
    <w:rsid w:val="00295125"/>
    <w:rsid w:val="0029571F"/>
    <w:rsid w:val="0029649E"/>
    <w:rsid w:val="002967B3"/>
    <w:rsid w:val="00297015"/>
    <w:rsid w:val="002970B8"/>
    <w:rsid w:val="002A6CF5"/>
    <w:rsid w:val="002A6DDD"/>
    <w:rsid w:val="002A77CE"/>
    <w:rsid w:val="002B04E8"/>
    <w:rsid w:val="002B174D"/>
    <w:rsid w:val="002B1E49"/>
    <w:rsid w:val="002B34DB"/>
    <w:rsid w:val="002B3556"/>
    <w:rsid w:val="002B4867"/>
    <w:rsid w:val="002B5CE9"/>
    <w:rsid w:val="002B5E84"/>
    <w:rsid w:val="002B61C4"/>
    <w:rsid w:val="002B65C9"/>
    <w:rsid w:val="002B6F08"/>
    <w:rsid w:val="002B7268"/>
    <w:rsid w:val="002B7627"/>
    <w:rsid w:val="002C1E52"/>
    <w:rsid w:val="002C27F0"/>
    <w:rsid w:val="002C323C"/>
    <w:rsid w:val="002C3B63"/>
    <w:rsid w:val="002C4119"/>
    <w:rsid w:val="002C4151"/>
    <w:rsid w:val="002C524C"/>
    <w:rsid w:val="002C58B5"/>
    <w:rsid w:val="002C6E46"/>
    <w:rsid w:val="002C71E2"/>
    <w:rsid w:val="002C7C64"/>
    <w:rsid w:val="002C7FBB"/>
    <w:rsid w:val="002D031B"/>
    <w:rsid w:val="002D1727"/>
    <w:rsid w:val="002D25A1"/>
    <w:rsid w:val="002D2814"/>
    <w:rsid w:val="002D491A"/>
    <w:rsid w:val="002D4BE4"/>
    <w:rsid w:val="002D56E0"/>
    <w:rsid w:val="002D58A3"/>
    <w:rsid w:val="002D7C93"/>
    <w:rsid w:val="002D7DEF"/>
    <w:rsid w:val="002D7F3B"/>
    <w:rsid w:val="002E08D3"/>
    <w:rsid w:val="002E1193"/>
    <w:rsid w:val="002E14DB"/>
    <w:rsid w:val="002E1CDB"/>
    <w:rsid w:val="002E34D1"/>
    <w:rsid w:val="002E48D3"/>
    <w:rsid w:val="002E7CA3"/>
    <w:rsid w:val="002F0960"/>
    <w:rsid w:val="002F1F18"/>
    <w:rsid w:val="002F205F"/>
    <w:rsid w:val="002F64F1"/>
    <w:rsid w:val="002F6E76"/>
    <w:rsid w:val="002F75E5"/>
    <w:rsid w:val="002F7DD9"/>
    <w:rsid w:val="00300AA2"/>
    <w:rsid w:val="003011FF"/>
    <w:rsid w:val="00301919"/>
    <w:rsid w:val="003038B6"/>
    <w:rsid w:val="00303BB5"/>
    <w:rsid w:val="0030411A"/>
    <w:rsid w:val="00304A4C"/>
    <w:rsid w:val="003053EE"/>
    <w:rsid w:val="003058FE"/>
    <w:rsid w:val="00305E17"/>
    <w:rsid w:val="00310204"/>
    <w:rsid w:val="00310B44"/>
    <w:rsid w:val="00310D5C"/>
    <w:rsid w:val="00311355"/>
    <w:rsid w:val="00312BD4"/>
    <w:rsid w:val="00313081"/>
    <w:rsid w:val="00313124"/>
    <w:rsid w:val="00313B1C"/>
    <w:rsid w:val="00313E18"/>
    <w:rsid w:val="00314A45"/>
    <w:rsid w:val="00314C5C"/>
    <w:rsid w:val="00315909"/>
    <w:rsid w:val="00317767"/>
    <w:rsid w:val="00320716"/>
    <w:rsid w:val="00320DCE"/>
    <w:rsid w:val="003214BD"/>
    <w:rsid w:val="00321AFD"/>
    <w:rsid w:val="003229CD"/>
    <w:rsid w:val="003230B2"/>
    <w:rsid w:val="0032424E"/>
    <w:rsid w:val="00324769"/>
    <w:rsid w:val="0032601E"/>
    <w:rsid w:val="00330933"/>
    <w:rsid w:val="003316AB"/>
    <w:rsid w:val="0033452B"/>
    <w:rsid w:val="00334595"/>
    <w:rsid w:val="00335E1A"/>
    <w:rsid w:val="0033672F"/>
    <w:rsid w:val="003408CD"/>
    <w:rsid w:val="00341877"/>
    <w:rsid w:val="00341882"/>
    <w:rsid w:val="00342733"/>
    <w:rsid w:val="00342E0E"/>
    <w:rsid w:val="00343813"/>
    <w:rsid w:val="003501E7"/>
    <w:rsid w:val="003502B6"/>
    <w:rsid w:val="00350C9D"/>
    <w:rsid w:val="00351226"/>
    <w:rsid w:val="00352A82"/>
    <w:rsid w:val="00352E82"/>
    <w:rsid w:val="00352EEC"/>
    <w:rsid w:val="00352FD0"/>
    <w:rsid w:val="0035304C"/>
    <w:rsid w:val="00353064"/>
    <w:rsid w:val="00354724"/>
    <w:rsid w:val="00354952"/>
    <w:rsid w:val="00355532"/>
    <w:rsid w:val="00355DA7"/>
    <w:rsid w:val="00356161"/>
    <w:rsid w:val="00356C9D"/>
    <w:rsid w:val="00361EB1"/>
    <w:rsid w:val="00362309"/>
    <w:rsid w:val="0036475B"/>
    <w:rsid w:val="00366322"/>
    <w:rsid w:val="003673FB"/>
    <w:rsid w:val="00367626"/>
    <w:rsid w:val="00370769"/>
    <w:rsid w:val="00370FAD"/>
    <w:rsid w:val="00371FE2"/>
    <w:rsid w:val="0037435A"/>
    <w:rsid w:val="003749EA"/>
    <w:rsid w:val="00375090"/>
    <w:rsid w:val="00375751"/>
    <w:rsid w:val="0037631A"/>
    <w:rsid w:val="003774FE"/>
    <w:rsid w:val="00377FEA"/>
    <w:rsid w:val="00380153"/>
    <w:rsid w:val="00380248"/>
    <w:rsid w:val="0038057A"/>
    <w:rsid w:val="00380737"/>
    <w:rsid w:val="00380C5F"/>
    <w:rsid w:val="00381A32"/>
    <w:rsid w:val="00381AE0"/>
    <w:rsid w:val="00381CAF"/>
    <w:rsid w:val="003824D7"/>
    <w:rsid w:val="00383671"/>
    <w:rsid w:val="003836B5"/>
    <w:rsid w:val="00383EA2"/>
    <w:rsid w:val="003844F5"/>
    <w:rsid w:val="00384581"/>
    <w:rsid w:val="00384F4B"/>
    <w:rsid w:val="00385C7B"/>
    <w:rsid w:val="003875A2"/>
    <w:rsid w:val="003879F2"/>
    <w:rsid w:val="00391A53"/>
    <w:rsid w:val="00393473"/>
    <w:rsid w:val="00393923"/>
    <w:rsid w:val="003943CF"/>
    <w:rsid w:val="003959EF"/>
    <w:rsid w:val="00395AEC"/>
    <w:rsid w:val="00397946"/>
    <w:rsid w:val="003A08ED"/>
    <w:rsid w:val="003A0D33"/>
    <w:rsid w:val="003A2127"/>
    <w:rsid w:val="003A26AA"/>
    <w:rsid w:val="003A42B2"/>
    <w:rsid w:val="003A4659"/>
    <w:rsid w:val="003A4FAB"/>
    <w:rsid w:val="003A5053"/>
    <w:rsid w:val="003A53F9"/>
    <w:rsid w:val="003A65DB"/>
    <w:rsid w:val="003A6C9B"/>
    <w:rsid w:val="003A748A"/>
    <w:rsid w:val="003B017F"/>
    <w:rsid w:val="003B1440"/>
    <w:rsid w:val="003B21EC"/>
    <w:rsid w:val="003B2AE1"/>
    <w:rsid w:val="003B34EA"/>
    <w:rsid w:val="003B3DCC"/>
    <w:rsid w:val="003B4A69"/>
    <w:rsid w:val="003B556A"/>
    <w:rsid w:val="003B5880"/>
    <w:rsid w:val="003B7B58"/>
    <w:rsid w:val="003C0165"/>
    <w:rsid w:val="003C2307"/>
    <w:rsid w:val="003C2324"/>
    <w:rsid w:val="003C3F84"/>
    <w:rsid w:val="003C514F"/>
    <w:rsid w:val="003C62FF"/>
    <w:rsid w:val="003C63DA"/>
    <w:rsid w:val="003C6544"/>
    <w:rsid w:val="003D0AA8"/>
    <w:rsid w:val="003D0BA7"/>
    <w:rsid w:val="003D0DB3"/>
    <w:rsid w:val="003D0F43"/>
    <w:rsid w:val="003D1686"/>
    <w:rsid w:val="003D177E"/>
    <w:rsid w:val="003D1C68"/>
    <w:rsid w:val="003D2588"/>
    <w:rsid w:val="003D2607"/>
    <w:rsid w:val="003D314A"/>
    <w:rsid w:val="003D3609"/>
    <w:rsid w:val="003D3D54"/>
    <w:rsid w:val="003D5F87"/>
    <w:rsid w:val="003D663E"/>
    <w:rsid w:val="003D6800"/>
    <w:rsid w:val="003D6CCB"/>
    <w:rsid w:val="003D759A"/>
    <w:rsid w:val="003E0276"/>
    <w:rsid w:val="003E11FE"/>
    <w:rsid w:val="003E1591"/>
    <w:rsid w:val="003E1B65"/>
    <w:rsid w:val="003E234A"/>
    <w:rsid w:val="003E271C"/>
    <w:rsid w:val="003E369B"/>
    <w:rsid w:val="003E4C5D"/>
    <w:rsid w:val="003E5EED"/>
    <w:rsid w:val="003E65C5"/>
    <w:rsid w:val="003E78A7"/>
    <w:rsid w:val="003F052A"/>
    <w:rsid w:val="003F120A"/>
    <w:rsid w:val="003F278E"/>
    <w:rsid w:val="003F3692"/>
    <w:rsid w:val="003F4C83"/>
    <w:rsid w:val="003F4DB3"/>
    <w:rsid w:val="003F648B"/>
    <w:rsid w:val="003F7748"/>
    <w:rsid w:val="00400129"/>
    <w:rsid w:val="00402681"/>
    <w:rsid w:val="0040331A"/>
    <w:rsid w:val="0040398C"/>
    <w:rsid w:val="004042F6"/>
    <w:rsid w:val="004053CD"/>
    <w:rsid w:val="00405CA9"/>
    <w:rsid w:val="0040601B"/>
    <w:rsid w:val="0040642B"/>
    <w:rsid w:val="00406A31"/>
    <w:rsid w:val="0041080C"/>
    <w:rsid w:val="004115B1"/>
    <w:rsid w:val="004118BC"/>
    <w:rsid w:val="00411E6D"/>
    <w:rsid w:val="004126D0"/>
    <w:rsid w:val="0041338F"/>
    <w:rsid w:val="0041677D"/>
    <w:rsid w:val="0041687C"/>
    <w:rsid w:val="00416C7E"/>
    <w:rsid w:val="00417CC3"/>
    <w:rsid w:val="004206DD"/>
    <w:rsid w:val="004226E4"/>
    <w:rsid w:val="00423EF2"/>
    <w:rsid w:val="00423FD5"/>
    <w:rsid w:val="00426016"/>
    <w:rsid w:val="00426BAF"/>
    <w:rsid w:val="00426E86"/>
    <w:rsid w:val="00430888"/>
    <w:rsid w:val="00430CFC"/>
    <w:rsid w:val="00430F11"/>
    <w:rsid w:val="0043176A"/>
    <w:rsid w:val="00431AA8"/>
    <w:rsid w:val="004321B1"/>
    <w:rsid w:val="00433FB0"/>
    <w:rsid w:val="0043509C"/>
    <w:rsid w:val="004358E3"/>
    <w:rsid w:val="0044092F"/>
    <w:rsid w:val="004412F8"/>
    <w:rsid w:val="004426F5"/>
    <w:rsid w:val="004437D1"/>
    <w:rsid w:val="00447076"/>
    <w:rsid w:val="0044712E"/>
    <w:rsid w:val="0044718D"/>
    <w:rsid w:val="00447BCF"/>
    <w:rsid w:val="00447BE0"/>
    <w:rsid w:val="004510D5"/>
    <w:rsid w:val="00454D2C"/>
    <w:rsid w:val="004557EE"/>
    <w:rsid w:val="00456B13"/>
    <w:rsid w:val="00457300"/>
    <w:rsid w:val="0046025F"/>
    <w:rsid w:val="00460520"/>
    <w:rsid w:val="00460703"/>
    <w:rsid w:val="00461ACD"/>
    <w:rsid w:val="00461CFA"/>
    <w:rsid w:val="00461DDB"/>
    <w:rsid w:val="00463707"/>
    <w:rsid w:val="004657EC"/>
    <w:rsid w:val="00465D21"/>
    <w:rsid w:val="00466554"/>
    <w:rsid w:val="00467E45"/>
    <w:rsid w:val="00471958"/>
    <w:rsid w:val="00472098"/>
    <w:rsid w:val="0047219E"/>
    <w:rsid w:val="00473926"/>
    <w:rsid w:val="00474488"/>
    <w:rsid w:val="004744A6"/>
    <w:rsid w:val="0047500F"/>
    <w:rsid w:val="004753BF"/>
    <w:rsid w:val="00475B06"/>
    <w:rsid w:val="00477765"/>
    <w:rsid w:val="00477BAB"/>
    <w:rsid w:val="0048006A"/>
    <w:rsid w:val="00481285"/>
    <w:rsid w:val="004820A8"/>
    <w:rsid w:val="004865D8"/>
    <w:rsid w:val="0048662B"/>
    <w:rsid w:val="00492471"/>
    <w:rsid w:val="0049321D"/>
    <w:rsid w:val="00494B17"/>
    <w:rsid w:val="00494EA6"/>
    <w:rsid w:val="00494FAF"/>
    <w:rsid w:val="0049652B"/>
    <w:rsid w:val="00496AA9"/>
    <w:rsid w:val="00497100"/>
    <w:rsid w:val="004979CE"/>
    <w:rsid w:val="004A1751"/>
    <w:rsid w:val="004A3E01"/>
    <w:rsid w:val="004A3F81"/>
    <w:rsid w:val="004A5705"/>
    <w:rsid w:val="004A6654"/>
    <w:rsid w:val="004A674C"/>
    <w:rsid w:val="004A7839"/>
    <w:rsid w:val="004A79C0"/>
    <w:rsid w:val="004B0CD1"/>
    <w:rsid w:val="004B154B"/>
    <w:rsid w:val="004B17F3"/>
    <w:rsid w:val="004B316C"/>
    <w:rsid w:val="004B318B"/>
    <w:rsid w:val="004B4C5B"/>
    <w:rsid w:val="004B70CD"/>
    <w:rsid w:val="004B764A"/>
    <w:rsid w:val="004B76C4"/>
    <w:rsid w:val="004B7C9B"/>
    <w:rsid w:val="004C32E5"/>
    <w:rsid w:val="004C6544"/>
    <w:rsid w:val="004C7502"/>
    <w:rsid w:val="004C7988"/>
    <w:rsid w:val="004C7AAD"/>
    <w:rsid w:val="004D02D5"/>
    <w:rsid w:val="004D1726"/>
    <w:rsid w:val="004D187B"/>
    <w:rsid w:val="004D30F7"/>
    <w:rsid w:val="004D3384"/>
    <w:rsid w:val="004D39A8"/>
    <w:rsid w:val="004D3B16"/>
    <w:rsid w:val="004D3FA3"/>
    <w:rsid w:val="004D447B"/>
    <w:rsid w:val="004D519C"/>
    <w:rsid w:val="004D661D"/>
    <w:rsid w:val="004D66AB"/>
    <w:rsid w:val="004D7679"/>
    <w:rsid w:val="004E12CE"/>
    <w:rsid w:val="004E152E"/>
    <w:rsid w:val="004E2525"/>
    <w:rsid w:val="004E2D83"/>
    <w:rsid w:val="004E424D"/>
    <w:rsid w:val="004E4393"/>
    <w:rsid w:val="004E519E"/>
    <w:rsid w:val="004E7B0E"/>
    <w:rsid w:val="004F1C58"/>
    <w:rsid w:val="004F1E86"/>
    <w:rsid w:val="004F2BB5"/>
    <w:rsid w:val="004F37C9"/>
    <w:rsid w:val="004F38AD"/>
    <w:rsid w:val="004F3F83"/>
    <w:rsid w:val="004F5191"/>
    <w:rsid w:val="004F53CD"/>
    <w:rsid w:val="004F557A"/>
    <w:rsid w:val="004F6AC6"/>
    <w:rsid w:val="004F6F01"/>
    <w:rsid w:val="004F750D"/>
    <w:rsid w:val="004F759D"/>
    <w:rsid w:val="00501062"/>
    <w:rsid w:val="00501BD3"/>
    <w:rsid w:val="00504002"/>
    <w:rsid w:val="00504A79"/>
    <w:rsid w:val="005052BB"/>
    <w:rsid w:val="0050533B"/>
    <w:rsid w:val="00506474"/>
    <w:rsid w:val="0050755D"/>
    <w:rsid w:val="00507619"/>
    <w:rsid w:val="005103FA"/>
    <w:rsid w:val="00510E99"/>
    <w:rsid w:val="0051175A"/>
    <w:rsid w:val="00513545"/>
    <w:rsid w:val="00514F0B"/>
    <w:rsid w:val="005157F0"/>
    <w:rsid w:val="00515831"/>
    <w:rsid w:val="00515C35"/>
    <w:rsid w:val="00515F2F"/>
    <w:rsid w:val="00516913"/>
    <w:rsid w:val="005169B6"/>
    <w:rsid w:val="005179D9"/>
    <w:rsid w:val="00517CE7"/>
    <w:rsid w:val="00517CEE"/>
    <w:rsid w:val="00517E7D"/>
    <w:rsid w:val="00517F9D"/>
    <w:rsid w:val="005202AF"/>
    <w:rsid w:val="00520FA9"/>
    <w:rsid w:val="00521589"/>
    <w:rsid w:val="005216F8"/>
    <w:rsid w:val="00521712"/>
    <w:rsid w:val="00524C10"/>
    <w:rsid w:val="005252A4"/>
    <w:rsid w:val="00526926"/>
    <w:rsid w:val="00527C86"/>
    <w:rsid w:val="00531004"/>
    <w:rsid w:val="00531AFE"/>
    <w:rsid w:val="00531B6A"/>
    <w:rsid w:val="00532316"/>
    <w:rsid w:val="00532942"/>
    <w:rsid w:val="005330F0"/>
    <w:rsid w:val="005335D5"/>
    <w:rsid w:val="00533BD2"/>
    <w:rsid w:val="0053494B"/>
    <w:rsid w:val="00534C5C"/>
    <w:rsid w:val="00534DAC"/>
    <w:rsid w:val="00535516"/>
    <w:rsid w:val="005360ED"/>
    <w:rsid w:val="00536EDB"/>
    <w:rsid w:val="00537B06"/>
    <w:rsid w:val="00537EF5"/>
    <w:rsid w:val="00541674"/>
    <w:rsid w:val="00542459"/>
    <w:rsid w:val="005427B9"/>
    <w:rsid w:val="00542981"/>
    <w:rsid w:val="005448AB"/>
    <w:rsid w:val="005454B0"/>
    <w:rsid w:val="00545AB2"/>
    <w:rsid w:val="00546DE5"/>
    <w:rsid w:val="00547FD3"/>
    <w:rsid w:val="00547FF2"/>
    <w:rsid w:val="00550259"/>
    <w:rsid w:val="005531AA"/>
    <w:rsid w:val="005532DE"/>
    <w:rsid w:val="00555D5B"/>
    <w:rsid w:val="0056036C"/>
    <w:rsid w:val="005628E3"/>
    <w:rsid w:val="00562DD2"/>
    <w:rsid w:val="005641D2"/>
    <w:rsid w:val="005643FD"/>
    <w:rsid w:val="00564617"/>
    <w:rsid w:val="00565203"/>
    <w:rsid w:val="00565D73"/>
    <w:rsid w:val="00565F86"/>
    <w:rsid w:val="00567A18"/>
    <w:rsid w:val="00570835"/>
    <w:rsid w:val="005710FB"/>
    <w:rsid w:val="00571413"/>
    <w:rsid w:val="00571B4D"/>
    <w:rsid w:val="005726C6"/>
    <w:rsid w:val="005737EA"/>
    <w:rsid w:val="00575582"/>
    <w:rsid w:val="0058094C"/>
    <w:rsid w:val="00581AA1"/>
    <w:rsid w:val="00581C3F"/>
    <w:rsid w:val="00582859"/>
    <w:rsid w:val="00582992"/>
    <w:rsid w:val="00583DDA"/>
    <w:rsid w:val="00584442"/>
    <w:rsid w:val="00584AD1"/>
    <w:rsid w:val="00584B6D"/>
    <w:rsid w:val="0058592C"/>
    <w:rsid w:val="005862AF"/>
    <w:rsid w:val="00586C9A"/>
    <w:rsid w:val="00586D65"/>
    <w:rsid w:val="00587213"/>
    <w:rsid w:val="00587E37"/>
    <w:rsid w:val="00590776"/>
    <w:rsid w:val="005909BB"/>
    <w:rsid w:val="00590FFF"/>
    <w:rsid w:val="00591A41"/>
    <w:rsid w:val="00592163"/>
    <w:rsid w:val="00592207"/>
    <w:rsid w:val="00592232"/>
    <w:rsid w:val="005927C4"/>
    <w:rsid w:val="00593263"/>
    <w:rsid w:val="00593F91"/>
    <w:rsid w:val="0059400C"/>
    <w:rsid w:val="00594100"/>
    <w:rsid w:val="005950C3"/>
    <w:rsid w:val="00595A7D"/>
    <w:rsid w:val="005979C9"/>
    <w:rsid w:val="005A017D"/>
    <w:rsid w:val="005A1BA0"/>
    <w:rsid w:val="005A4F12"/>
    <w:rsid w:val="005A7C82"/>
    <w:rsid w:val="005B122F"/>
    <w:rsid w:val="005B15DF"/>
    <w:rsid w:val="005B1AAB"/>
    <w:rsid w:val="005B2063"/>
    <w:rsid w:val="005B34A4"/>
    <w:rsid w:val="005C0952"/>
    <w:rsid w:val="005C0ED6"/>
    <w:rsid w:val="005C1386"/>
    <w:rsid w:val="005C145F"/>
    <w:rsid w:val="005C232B"/>
    <w:rsid w:val="005C232E"/>
    <w:rsid w:val="005C3024"/>
    <w:rsid w:val="005C37F0"/>
    <w:rsid w:val="005C45A3"/>
    <w:rsid w:val="005C54DC"/>
    <w:rsid w:val="005C659F"/>
    <w:rsid w:val="005C7038"/>
    <w:rsid w:val="005D0431"/>
    <w:rsid w:val="005D0555"/>
    <w:rsid w:val="005D05F8"/>
    <w:rsid w:val="005D0AE2"/>
    <w:rsid w:val="005D10AD"/>
    <w:rsid w:val="005D2D61"/>
    <w:rsid w:val="005D3050"/>
    <w:rsid w:val="005D3EC5"/>
    <w:rsid w:val="005D5E87"/>
    <w:rsid w:val="005D6782"/>
    <w:rsid w:val="005D689D"/>
    <w:rsid w:val="005D7924"/>
    <w:rsid w:val="005D79DC"/>
    <w:rsid w:val="005E00E4"/>
    <w:rsid w:val="005E1180"/>
    <w:rsid w:val="005E1F7B"/>
    <w:rsid w:val="005E214E"/>
    <w:rsid w:val="005E30FF"/>
    <w:rsid w:val="005E3FE8"/>
    <w:rsid w:val="005E4330"/>
    <w:rsid w:val="005E441F"/>
    <w:rsid w:val="005E45B7"/>
    <w:rsid w:val="005E484F"/>
    <w:rsid w:val="005E4D77"/>
    <w:rsid w:val="005E6CFE"/>
    <w:rsid w:val="005E6F9B"/>
    <w:rsid w:val="005F04C1"/>
    <w:rsid w:val="005F05B6"/>
    <w:rsid w:val="005F05D2"/>
    <w:rsid w:val="005F12CA"/>
    <w:rsid w:val="005F148C"/>
    <w:rsid w:val="005F15CC"/>
    <w:rsid w:val="005F1C38"/>
    <w:rsid w:val="005F3457"/>
    <w:rsid w:val="005F380E"/>
    <w:rsid w:val="005F3FDF"/>
    <w:rsid w:val="005F4BC0"/>
    <w:rsid w:val="005F508D"/>
    <w:rsid w:val="005F5B7A"/>
    <w:rsid w:val="005F64C2"/>
    <w:rsid w:val="005F741D"/>
    <w:rsid w:val="0060013B"/>
    <w:rsid w:val="0060080D"/>
    <w:rsid w:val="006008D5"/>
    <w:rsid w:val="00601520"/>
    <w:rsid w:val="0060313A"/>
    <w:rsid w:val="0060457F"/>
    <w:rsid w:val="00605E72"/>
    <w:rsid w:val="006062A0"/>
    <w:rsid w:val="00610787"/>
    <w:rsid w:val="00610C8F"/>
    <w:rsid w:val="00610F46"/>
    <w:rsid w:val="00611D0C"/>
    <w:rsid w:val="006134BA"/>
    <w:rsid w:val="0061495F"/>
    <w:rsid w:val="00614A4D"/>
    <w:rsid w:val="0061796C"/>
    <w:rsid w:val="006179A2"/>
    <w:rsid w:val="006222FA"/>
    <w:rsid w:val="00622344"/>
    <w:rsid w:val="0062670B"/>
    <w:rsid w:val="00626C45"/>
    <w:rsid w:val="00627059"/>
    <w:rsid w:val="00630315"/>
    <w:rsid w:val="006303B7"/>
    <w:rsid w:val="0063128B"/>
    <w:rsid w:val="00631A91"/>
    <w:rsid w:val="006323AB"/>
    <w:rsid w:val="0063286F"/>
    <w:rsid w:val="00633E0F"/>
    <w:rsid w:val="006342CE"/>
    <w:rsid w:val="006350E7"/>
    <w:rsid w:val="00635C46"/>
    <w:rsid w:val="0063618B"/>
    <w:rsid w:val="006361BC"/>
    <w:rsid w:val="006363EA"/>
    <w:rsid w:val="00640307"/>
    <w:rsid w:val="006405C9"/>
    <w:rsid w:val="00640E13"/>
    <w:rsid w:val="00641895"/>
    <w:rsid w:val="00642617"/>
    <w:rsid w:val="00642CAB"/>
    <w:rsid w:val="0064326D"/>
    <w:rsid w:val="00645BC0"/>
    <w:rsid w:val="0064627A"/>
    <w:rsid w:val="00647B38"/>
    <w:rsid w:val="00650D4E"/>
    <w:rsid w:val="00650D71"/>
    <w:rsid w:val="00650F7B"/>
    <w:rsid w:val="00651C65"/>
    <w:rsid w:val="006520BA"/>
    <w:rsid w:val="00653382"/>
    <w:rsid w:val="006548ED"/>
    <w:rsid w:val="00656669"/>
    <w:rsid w:val="0066017A"/>
    <w:rsid w:val="00661AA6"/>
    <w:rsid w:val="006625A0"/>
    <w:rsid w:val="0066262A"/>
    <w:rsid w:val="00664D56"/>
    <w:rsid w:val="0066687D"/>
    <w:rsid w:val="0066733B"/>
    <w:rsid w:val="006701A0"/>
    <w:rsid w:val="0067030A"/>
    <w:rsid w:val="0067033B"/>
    <w:rsid w:val="006729D5"/>
    <w:rsid w:val="00673EB4"/>
    <w:rsid w:val="00674E4A"/>
    <w:rsid w:val="0067519F"/>
    <w:rsid w:val="00676539"/>
    <w:rsid w:val="0067691F"/>
    <w:rsid w:val="00680F23"/>
    <w:rsid w:val="0068153C"/>
    <w:rsid w:val="006828A1"/>
    <w:rsid w:val="006833C3"/>
    <w:rsid w:val="0068362B"/>
    <w:rsid w:val="006845F9"/>
    <w:rsid w:val="00685A3E"/>
    <w:rsid w:val="006866C6"/>
    <w:rsid w:val="00687C42"/>
    <w:rsid w:val="00690210"/>
    <w:rsid w:val="00691A43"/>
    <w:rsid w:val="00692A44"/>
    <w:rsid w:val="00692D65"/>
    <w:rsid w:val="00692F56"/>
    <w:rsid w:val="0069651F"/>
    <w:rsid w:val="00697A61"/>
    <w:rsid w:val="00697EEE"/>
    <w:rsid w:val="006A01B4"/>
    <w:rsid w:val="006A08AB"/>
    <w:rsid w:val="006A1B10"/>
    <w:rsid w:val="006A34B6"/>
    <w:rsid w:val="006A51DE"/>
    <w:rsid w:val="006A666F"/>
    <w:rsid w:val="006A68EB"/>
    <w:rsid w:val="006B0AAC"/>
    <w:rsid w:val="006B0B36"/>
    <w:rsid w:val="006B2529"/>
    <w:rsid w:val="006B2C4A"/>
    <w:rsid w:val="006B2FBF"/>
    <w:rsid w:val="006B3631"/>
    <w:rsid w:val="006B37C7"/>
    <w:rsid w:val="006B4BC2"/>
    <w:rsid w:val="006B4F10"/>
    <w:rsid w:val="006B5423"/>
    <w:rsid w:val="006B6C09"/>
    <w:rsid w:val="006B7293"/>
    <w:rsid w:val="006C1C04"/>
    <w:rsid w:val="006C359A"/>
    <w:rsid w:val="006C42EA"/>
    <w:rsid w:val="006C4642"/>
    <w:rsid w:val="006C4F7C"/>
    <w:rsid w:val="006C5666"/>
    <w:rsid w:val="006C74DB"/>
    <w:rsid w:val="006C7DE5"/>
    <w:rsid w:val="006D0285"/>
    <w:rsid w:val="006D1CD5"/>
    <w:rsid w:val="006D1D97"/>
    <w:rsid w:val="006D275D"/>
    <w:rsid w:val="006D2EB1"/>
    <w:rsid w:val="006D322B"/>
    <w:rsid w:val="006D40E7"/>
    <w:rsid w:val="006D4C23"/>
    <w:rsid w:val="006D4E9E"/>
    <w:rsid w:val="006D5235"/>
    <w:rsid w:val="006D7B80"/>
    <w:rsid w:val="006E1063"/>
    <w:rsid w:val="006E1073"/>
    <w:rsid w:val="006E2159"/>
    <w:rsid w:val="006E224F"/>
    <w:rsid w:val="006E239A"/>
    <w:rsid w:val="006E2A30"/>
    <w:rsid w:val="006E2BC7"/>
    <w:rsid w:val="006E369F"/>
    <w:rsid w:val="006E4960"/>
    <w:rsid w:val="006E53D1"/>
    <w:rsid w:val="006E6DFE"/>
    <w:rsid w:val="006E77A6"/>
    <w:rsid w:val="006F004B"/>
    <w:rsid w:val="006F1319"/>
    <w:rsid w:val="006F1322"/>
    <w:rsid w:val="006F161E"/>
    <w:rsid w:val="006F19F3"/>
    <w:rsid w:val="006F2A2F"/>
    <w:rsid w:val="006F2BF1"/>
    <w:rsid w:val="006F3729"/>
    <w:rsid w:val="006F550C"/>
    <w:rsid w:val="006F6249"/>
    <w:rsid w:val="006F7199"/>
    <w:rsid w:val="006F73AA"/>
    <w:rsid w:val="00700823"/>
    <w:rsid w:val="0070105B"/>
    <w:rsid w:val="007010DD"/>
    <w:rsid w:val="007014E5"/>
    <w:rsid w:val="007035CB"/>
    <w:rsid w:val="00704F9C"/>
    <w:rsid w:val="007050EE"/>
    <w:rsid w:val="007057C0"/>
    <w:rsid w:val="007103B6"/>
    <w:rsid w:val="00710E6E"/>
    <w:rsid w:val="00710EA3"/>
    <w:rsid w:val="0071110B"/>
    <w:rsid w:val="007128F6"/>
    <w:rsid w:val="0071428A"/>
    <w:rsid w:val="00714983"/>
    <w:rsid w:val="007150F6"/>
    <w:rsid w:val="00715772"/>
    <w:rsid w:val="0071590A"/>
    <w:rsid w:val="00716000"/>
    <w:rsid w:val="00716DCE"/>
    <w:rsid w:val="00717A89"/>
    <w:rsid w:val="00717B38"/>
    <w:rsid w:val="00721764"/>
    <w:rsid w:val="007218B4"/>
    <w:rsid w:val="00722A46"/>
    <w:rsid w:val="00722A8A"/>
    <w:rsid w:val="00723A66"/>
    <w:rsid w:val="00724C28"/>
    <w:rsid w:val="00724E45"/>
    <w:rsid w:val="007262E2"/>
    <w:rsid w:val="00727381"/>
    <w:rsid w:val="0072789F"/>
    <w:rsid w:val="00730494"/>
    <w:rsid w:val="00731833"/>
    <w:rsid w:val="00731966"/>
    <w:rsid w:val="007338C8"/>
    <w:rsid w:val="00734092"/>
    <w:rsid w:val="0073641A"/>
    <w:rsid w:val="00740759"/>
    <w:rsid w:val="007412AE"/>
    <w:rsid w:val="007434DD"/>
    <w:rsid w:val="00744281"/>
    <w:rsid w:val="00746F96"/>
    <w:rsid w:val="0074722E"/>
    <w:rsid w:val="007472E6"/>
    <w:rsid w:val="00750D10"/>
    <w:rsid w:val="00751AEB"/>
    <w:rsid w:val="00752288"/>
    <w:rsid w:val="00752C04"/>
    <w:rsid w:val="00754D24"/>
    <w:rsid w:val="007558B0"/>
    <w:rsid w:val="00755981"/>
    <w:rsid w:val="00755A81"/>
    <w:rsid w:val="00757364"/>
    <w:rsid w:val="00760836"/>
    <w:rsid w:val="007623DE"/>
    <w:rsid w:val="00762407"/>
    <w:rsid w:val="007627C8"/>
    <w:rsid w:val="00762EF9"/>
    <w:rsid w:val="00766072"/>
    <w:rsid w:val="00766A2A"/>
    <w:rsid w:val="00766C45"/>
    <w:rsid w:val="0077183D"/>
    <w:rsid w:val="0077208A"/>
    <w:rsid w:val="007734E0"/>
    <w:rsid w:val="007737E8"/>
    <w:rsid w:val="0077505B"/>
    <w:rsid w:val="00775882"/>
    <w:rsid w:val="00775A46"/>
    <w:rsid w:val="007760D3"/>
    <w:rsid w:val="007766E8"/>
    <w:rsid w:val="00777414"/>
    <w:rsid w:val="007775CB"/>
    <w:rsid w:val="00777FF7"/>
    <w:rsid w:val="007807EE"/>
    <w:rsid w:val="00780DE3"/>
    <w:rsid w:val="00782DDF"/>
    <w:rsid w:val="00783883"/>
    <w:rsid w:val="007839FA"/>
    <w:rsid w:val="00783F5C"/>
    <w:rsid w:val="00786A6B"/>
    <w:rsid w:val="00787805"/>
    <w:rsid w:val="00790087"/>
    <w:rsid w:val="007904C3"/>
    <w:rsid w:val="00791159"/>
    <w:rsid w:val="007911A6"/>
    <w:rsid w:val="00791481"/>
    <w:rsid w:val="00791F6A"/>
    <w:rsid w:val="007926E6"/>
    <w:rsid w:val="007929CB"/>
    <w:rsid w:val="00792AEF"/>
    <w:rsid w:val="00793125"/>
    <w:rsid w:val="00793430"/>
    <w:rsid w:val="00793511"/>
    <w:rsid w:val="00793C4F"/>
    <w:rsid w:val="00795B22"/>
    <w:rsid w:val="00795FF8"/>
    <w:rsid w:val="0079737C"/>
    <w:rsid w:val="007A0D03"/>
    <w:rsid w:val="007A10D6"/>
    <w:rsid w:val="007A19B1"/>
    <w:rsid w:val="007A4C63"/>
    <w:rsid w:val="007A502C"/>
    <w:rsid w:val="007A5824"/>
    <w:rsid w:val="007A6C0F"/>
    <w:rsid w:val="007A6E5A"/>
    <w:rsid w:val="007A7442"/>
    <w:rsid w:val="007B1AAB"/>
    <w:rsid w:val="007B2C24"/>
    <w:rsid w:val="007B2E9D"/>
    <w:rsid w:val="007B39A0"/>
    <w:rsid w:val="007B411A"/>
    <w:rsid w:val="007B5246"/>
    <w:rsid w:val="007B6DCA"/>
    <w:rsid w:val="007C1510"/>
    <w:rsid w:val="007C20B8"/>
    <w:rsid w:val="007C2B70"/>
    <w:rsid w:val="007C2FAB"/>
    <w:rsid w:val="007C44E5"/>
    <w:rsid w:val="007C49C3"/>
    <w:rsid w:val="007C4CA0"/>
    <w:rsid w:val="007C6DC3"/>
    <w:rsid w:val="007C7A5E"/>
    <w:rsid w:val="007D3AEE"/>
    <w:rsid w:val="007D3C0A"/>
    <w:rsid w:val="007D5E01"/>
    <w:rsid w:val="007E0F9D"/>
    <w:rsid w:val="007E154A"/>
    <w:rsid w:val="007E183F"/>
    <w:rsid w:val="007E1F18"/>
    <w:rsid w:val="007E25D5"/>
    <w:rsid w:val="007E2868"/>
    <w:rsid w:val="007E2DD0"/>
    <w:rsid w:val="007E3701"/>
    <w:rsid w:val="007E4B44"/>
    <w:rsid w:val="007E7421"/>
    <w:rsid w:val="007E7A7B"/>
    <w:rsid w:val="007F051E"/>
    <w:rsid w:val="007F2882"/>
    <w:rsid w:val="007F3F6C"/>
    <w:rsid w:val="007F49CB"/>
    <w:rsid w:val="007F4CDF"/>
    <w:rsid w:val="007F4DE3"/>
    <w:rsid w:val="007F5600"/>
    <w:rsid w:val="007F57BB"/>
    <w:rsid w:val="007F5F5F"/>
    <w:rsid w:val="007F5FCF"/>
    <w:rsid w:val="007F7630"/>
    <w:rsid w:val="007F7C71"/>
    <w:rsid w:val="007F7DAD"/>
    <w:rsid w:val="0080088E"/>
    <w:rsid w:val="00800F0C"/>
    <w:rsid w:val="0080212C"/>
    <w:rsid w:val="00802D44"/>
    <w:rsid w:val="00803082"/>
    <w:rsid w:val="008031EA"/>
    <w:rsid w:val="00803B3B"/>
    <w:rsid w:val="008040B0"/>
    <w:rsid w:val="00804F7F"/>
    <w:rsid w:val="00806808"/>
    <w:rsid w:val="008068E2"/>
    <w:rsid w:val="00806927"/>
    <w:rsid w:val="00806B00"/>
    <w:rsid w:val="00807774"/>
    <w:rsid w:val="008079D1"/>
    <w:rsid w:val="00807A78"/>
    <w:rsid w:val="00810923"/>
    <w:rsid w:val="00811A91"/>
    <w:rsid w:val="00811B3A"/>
    <w:rsid w:val="0081279F"/>
    <w:rsid w:val="008142C3"/>
    <w:rsid w:val="008146FF"/>
    <w:rsid w:val="0081491C"/>
    <w:rsid w:val="00814BE9"/>
    <w:rsid w:val="00814E67"/>
    <w:rsid w:val="00815276"/>
    <w:rsid w:val="008152A3"/>
    <w:rsid w:val="00817107"/>
    <w:rsid w:val="008171BE"/>
    <w:rsid w:val="00817ECB"/>
    <w:rsid w:val="00820ECB"/>
    <w:rsid w:val="00821CF0"/>
    <w:rsid w:val="008227B4"/>
    <w:rsid w:val="00822B5A"/>
    <w:rsid w:val="008252A1"/>
    <w:rsid w:val="00825560"/>
    <w:rsid w:val="00825805"/>
    <w:rsid w:val="00825B10"/>
    <w:rsid w:val="00825E17"/>
    <w:rsid w:val="00826A99"/>
    <w:rsid w:val="0082716B"/>
    <w:rsid w:val="008278BD"/>
    <w:rsid w:val="00830787"/>
    <w:rsid w:val="00831B16"/>
    <w:rsid w:val="00832B9B"/>
    <w:rsid w:val="00832ED1"/>
    <w:rsid w:val="0083343F"/>
    <w:rsid w:val="00833DAD"/>
    <w:rsid w:val="008347A0"/>
    <w:rsid w:val="00834AB1"/>
    <w:rsid w:val="0083627C"/>
    <w:rsid w:val="008367F2"/>
    <w:rsid w:val="00836946"/>
    <w:rsid w:val="008377D3"/>
    <w:rsid w:val="00842228"/>
    <w:rsid w:val="00842849"/>
    <w:rsid w:val="008429B1"/>
    <w:rsid w:val="00844944"/>
    <w:rsid w:val="0084648D"/>
    <w:rsid w:val="0085097A"/>
    <w:rsid w:val="00850B00"/>
    <w:rsid w:val="00851CC9"/>
    <w:rsid w:val="00852821"/>
    <w:rsid w:val="0085325D"/>
    <w:rsid w:val="00853616"/>
    <w:rsid w:val="008548A5"/>
    <w:rsid w:val="00854AF1"/>
    <w:rsid w:val="0085767D"/>
    <w:rsid w:val="00857FAF"/>
    <w:rsid w:val="008600F3"/>
    <w:rsid w:val="008609E1"/>
    <w:rsid w:val="00860B2D"/>
    <w:rsid w:val="0086423A"/>
    <w:rsid w:val="00865809"/>
    <w:rsid w:val="00866B54"/>
    <w:rsid w:val="008672E5"/>
    <w:rsid w:val="00870CE7"/>
    <w:rsid w:val="008741D9"/>
    <w:rsid w:val="00874B2F"/>
    <w:rsid w:val="00874CB5"/>
    <w:rsid w:val="00874D2A"/>
    <w:rsid w:val="00877CB8"/>
    <w:rsid w:val="00880652"/>
    <w:rsid w:val="00880687"/>
    <w:rsid w:val="0088129F"/>
    <w:rsid w:val="008814DA"/>
    <w:rsid w:val="00881FDC"/>
    <w:rsid w:val="008820E6"/>
    <w:rsid w:val="00884609"/>
    <w:rsid w:val="00884B96"/>
    <w:rsid w:val="00886378"/>
    <w:rsid w:val="008867F3"/>
    <w:rsid w:val="00886B46"/>
    <w:rsid w:val="00887877"/>
    <w:rsid w:val="00890C60"/>
    <w:rsid w:val="00890C7E"/>
    <w:rsid w:val="008916A5"/>
    <w:rsid w:val="008925A6"/>
    <w:rsid w:val="00892F37"/>
    <w:rsid w:val="00893099"/>
    <w:rsid w:val="008947CC"/>
    <w:rsid w:val="00894D9C"/>
    <w:rsid w:val="008A00CB"/>
    <w:rsid w:val="008A08DB"/>
    <w:rsid w:val="008A0CAE"/>
    <w:rsid w:val="008A23F5"/>
    <w:rsid w:val="008A30A2"/>
    <w:rsid w:val="008A37E8"/>
    <w:rsid w:val="008A4838"/>
    <w:rsid w:val="008A4DD2"/>
    <w:rsid w:val="008A6624"/>
    <w:rsid w:val="008A700F"/>
    <w:rsid w:val="008A754E"/>
    <w:rsid w:val="008B0233"/>
    <w:rsid w:val="008B0C5B"/>
    <w:rsid w:val="008B0F7F"/>
    <w:rsid w:val="008B2125"/>
    <w:rsid w:val="008B2A92"/>
    <w:rsid w:val="008B34F2"/>
    <w:rsid w:val="008B36F0"/>
    <w:rsid w:val="008B3928"/>
    <w:rsid w:val="008B4EC1"/>
    <w:rsid w:val="008B553F"/>
    <w:rsid w:val="008B65EE"/>
    <w:rsid w:val="008B691D"/>
    <w:rsid w:val="008B693C"/>
    <w:rsid w:val="008B6AE2"/>
    <w:rsid w:val="008B6B4D"/>
    <w:rsid w:val="008B721D"/>
    <w:rsid w:val="008B730B"/>
    <w:rsid w:val="008C0B24"/>
    <w:rsid w:val="008C1675"/>
    <w:rsid w:val="008C1786"/>
    <w:rsid w:val="008C181F"/>
    <w:rsid w:val="008C2199"/>
    <w:rsid w:val="008C22E1"/>
    <w:rsid w:val="008C26CA"/>
    <w:rsid w:val="008C33B4"/>
    <w:rsid w:val="008C39C5"/>
    <w:rsid w:val="008C42EF"/>
    <w:rsid w:val="008C57FE"/>
    <w:rsid w:val="008C72A6"/>
    <w:rsid w:val="008C730C"/>
    <w:rsid w:val="008C75C0"/>
    <w:rsid w:val="008D0BBF"/>
    <w:rsid w:val="008D3454"/>
    <w:rsid w:val="008D3839"/>
    <w:rsid w:val="008D3A57"/>
    <w:rsid w:val="008D3B42"/>
    <w:rsid w:val="008D467F"/>
    <w:rsid w:val="008D4C68"/>
    <w:rsid w:val="008D4C78"/>
    <w:rsid w:val="008D5A66"/>
    <w:rsid w:val="008D5ED0"/>
    <w:rsid w:val="008D6ED8"/>
    <w:rsid w:val="008D6EE6"/>
    <w:rsid w:val="008D6FB1"/>
    <w:rsid w:val="008D7945"/>
    <w:rsid w:val="008E01A5"/>
    <w:rsid w:val="008E12C1"/>
    <w:rsid w:val="008E4E4C"/>
    <w:rsid w:val="008E50B4"/>
    <w:rsid w:val="008E50F4"/>
    <w:rsid w:val="008E5569"/>
    <w:rsid w:val="008E60E8"/>
    <w:rsid w:val="008E60EB"/>
    <w:rsid w:val="008E612F"/>
    <w:rsid w:val="008E61FF"/>
    <w:rsid w:val="008E6BA0"/>
    <w:rsid w:val="008F10D4"/>
    <w:rsid w:val="008F1717"/>
    <w:rsid w:val="008F2A9F"/>
    <w:rsid w:val="008F41D6"/>
    <w:rsid w:val="008F497D"/>
    <w:rsid w:val="008F5B95"/>
    <w:rsid w:val="008F7747"/>
    <w:rsid w:val="009064C9"/>
    <w:rsid w:val="009075CE"/>
    <w:rsid w:val="00910A3C"/>
    <w:rsid w:val="00910DB0"/>
    <w:rsid w:val="00911C8F"/>
    <w:rsid w:val="009123DD"/>
    <w:rsid w:val="009125A3"/>
    <w:rsid w:val="0091338D"/>
    <w:rsid w:val="00914125"/>
    <w:rsid w:val="00914B59"/>
    <w:rsid w:val="00914D0D"/>
    <w:rsid w:val="00914E9D"/>
    <w:rsid w:val="0091530C"/>
    <w:rsid w:val="00915729"/>
    <w:rsid w:val="009170B5"/>
    <w:rsid w:val="00920138"/>
    <w:rsid w:val="009210B8"/>
    <w:rsid w:val="0092184F"/>
    <w:rsid w:val="00921D04"/>
    <w:rsid w:val="00922445"/>
    <w:rsid w:val="00922671"/>
    <w:rsid w:val="00923B9D"/>
    <w:rsid w:val="00924458"/>
    <w:rsid w:val="00924E0E"/>
    <w:rsid w:val="009269CA"/>
    <w:rsid w:val="00926A0E"/>
    <w:rsid w:val="009309B1"/>
    <w:rsid w:val="00931755"/>
    <w:rsid w:val="00932233"/>
    <w:rsid w:val="009324DE"/>
    <w:rsid w:val="00932880"/>
    <w:rsid w:val="00932AB7"/>
    <w:rsid w:val="00933185"/>
    <w:rsid w:val="0093323B"/>
    <w:rsid w:val="00933BA9"/>
    <w:rsid w:val="00934ED5"/>
    <w:rsid w:val="009355A8"/>
    <w:rsid w:val="009362F5"/>
    <w:rsid w:val="00937B39"/>
    <w:rsid w:val="009402DA"/>
    <w:rsid w:val="00940B26"/>
    <w:rsid w:val="00941147"/>
    <w:rsid w:val="00942386"/>
    <w:rsid w:val="00943138"/>
    <w:rsid w:val="0094448C"/>
    <w:rsid w:val="00947CE9"/>
    <w:rsid w:val="00950EC6"/>
    <w:rsid w:val="00952265"/>
    <w:rsid w:val="0095252F"/>
    <w:rsid w:val="009533A5"/>
    <w:rsid w:val="00954BF5"/>
    <w:rsid w:val="00956250"/>
    <w:rsid w:val="009562B9"/>
    <w:rsid w:val="00956716"/>
    <w:rsid w:val="00956754"/>
    <w:rsid w:val="0096021C"/>
    <w:rsid w:val="00961727"/>
    <w:rsid w:val="00961B58"/>
    <w:rsid w:val="00962DAA"/>
    <w:rsid w:val="00962F04"/>
    <w:rsid w:val="0096403C"/>
    <w:rsid w:val="009654E8"/>
    <w:rsid w:val="00965869"/>
    <w:rsid w:val="00966C8C"/>
    <w:rsid w:val="00966FF1"/>
    <w:rsid w:val="009675C5"/>
    <w:rsid w:val="00967673"/>
    <w:rsid w:val="00970CE3"/>
    <w:rsid w:val="00971BA8"/>
    <w:rsid w:val="0097201F"/>
    <w:rsid w:val="009730F6"/>
    <w:rsid w:val="00973D43"/>
    <w:rsid w:val="009741F1"/>
    <w:rsid w:val="009764A8"/>
    <w:rsid w:val="00983990"/>
    <w:rsid w:val="00984CAF"/>
    <w:rsid w:val="009870C0"/>
    <w:rsid w:val="00991247"/>
    <w:rsid w:val="00991598"/>
    <w:rsid w:val="009931C4"/>
    <w:rsid w:val="0099408C"/>
    <w:rsid w:val="00996624"/>
    <w:rsid w:val="00996B57"/>
    <w:rsid w:val="00997443"/>
    <w:rsid w:val="009974A8"/>
    <w:rsid w:val="009A0028"/>
    <w:rsid w:val="009A130B"/>
    <w:rsid w:val="009A14D5"/>
    <w:rsid w:val="009A16EA"/>
    <w:rsid w:val="009A262E"/>
    <w:rsid w:val="009A2AA3"/>
    <w:rsid w:val="009A3B3B"/>
    <w:rsid w:val="009A5074"/>
    <w:rsid w:val="009A58AC"/>
    <w:rsid w:val="009A5D41"/>
    <w:rsid w:val="009A676C"/>
    <w:rsid w:val="009A79C4"/>
    <w:rsid w:val="009A7DAC"/>
    <w:rsid w:val="009B0796"/>
    <w:rsid w:val="009B0A5D"/>
    <w:rsid w:val="009B14CD"/>
    <w:rsid w:val="009B1A55"/>
    <w:rsid w:val="009B1ECD"/>
    <w:rsid w:val="009B2207"/>
    <w:rsid w:val="009B2440"/>
    <w:rsid w:val="009B495F"/>
    <w:rsid w:val="009B4D4B"/>
    <w:rsid w:val="009B5E2F"/>
    <w:rsid w:val="009B6245"/>
    <w:rsid w:val="009B6BEF"/>
    <w:rsid w:val="009B6FE9"/>
    <w:rsid w:val="009C0A62"/>
    <w:rsid w:val="009C132E"/>
    <w:rsid w:val="009C19CB"/>
    <w:rsid w:val="009C210E"/>
    <w:rsid w:val="009C29A4"/>
    <w:rsid w:val="009C379B"/>
    <w:rsid w:val="009C3BA0"/>
    <w:rsid w:val="009C3BD9"/>
    <w:rsid w:val="009C567C"/>
    <w:rsid w:val="009C6B4B"/>
    <w:rsid w:val="009C7EE1"/>
    <w:rsid w:val="009D045D"/>
    <w:rsid w:val="009D0EFC"/>
    <w:rsid w:val="009D2EDD"/>
    <w:rsid w:val="009D4E34"/>
    <w:rsid w:val="009D580B"/>
    <w:rsid w:val="009E0B11"/>
    <w:rsid w:val="009E1E09"/>
    <w:rsid w:val="009E2426"/>
    <w:rsid w:val="009E27F2"/>
    <w:rsid w:val="009E2944"/>
    <w:rsid w:val="009E3F28"/>
    <w:rsid w:val="009E4133"/>
    <w:rsid w:val="009E4CE6"/>
    <w:rsid w:val="009E71A6"/>
    <w:rsid w:val="009F1538"/>
    <w:rsid w:val="009F2C30"/>
    <w:rsid w:val="009F4023"/>
    <w:rsid w:val="009F40A0"/>
    <w:rsid w:val="009F4FE0"/>
    <w:rsid w:val="009F547B"/>
    <w:rsid w:val="009F5566"/>
    <w:rsid w:val="009F5885"/>
    <w:rsid w:val="009F5ECC"/>
    <w:rsid w:val="009F6B23"/>
    <w:rsid w:val="009F6D45"/>
    <w:rsid w:val="00A001AF"/>
    <w:rsid w:val="00A00CA8"/>
    <w:rsid w:val="00A01F5C"/>
    <w:rsid w:val="00A02041"/>
    <w:rsid w:val="00A0306A"/>
    <w:rsid w:val="00A03BE9"/>
    <w:rsid w:val="00A04535"/>
    <w:rsid w:val="00A05252"/>
    <w:rsid w:val="00A07988"/>
    <w:rsid w:val="00A101AB"/>
    <w:rsid w:val="00A1217F"/>
    <w:rsid w:val="00A121B6"/>
    <w:rsid w:val="00A124D2"/>
    <w:rsid w:val="00A12EB4"/>
    <w:rsid w:val="00A137DD"/>
    <w:rsid w:val="00A145AB"/>
    <w:rsid w:val="00A15139"/>
    <w:rsid w:val="00A15590"/>
    <w:rsid w:val="00A1643B"/>
    <w:rsid w:val="00A205B6"/>
    <w:rsid w:val="00A21A4C"/>
    <w:rsid w:val="00A21F92"/>
    <w:rsid w:val="00A22126"/>
    <w:rsid w:val="00A22EAC"/>
    <w:rsid w:val="00A2365D"/>
    <w:rsid w:val="00A242AF"/>
    <w:rsid w:val="00A2478E"/>
    <w:rsid w:val="00A24B65"/>
    <w:rsid w:val="00A25057"/>
    <w:rsid w:val="00A25345"/>
    <w:rsid w:val="00A25CC1"/>
    <w:rsid w:val="00A25E10"/>
    <w:rsid w:val="00A26215"/>
    <w:rsid w:val="00A30508"/>
    <w:rsid w:val="00A30760"/>
    <w:rsid w:val="00A30908"/>
    <w:rsid w:val="00A3139F"/>
    <w:rsid w:val="00A31457"/>
    <w:rsid w:val="00A31DAC"/>
    <w:rsid w:val="00A32102"/>
    <w:rsid w:val="00A33631"/>
    <w:rsid w:val="00A3375C"/>
    <w:rsid w:val="00A3418A"/>
    <w:rsid w:val="00A34DC7"/>
    <w:rsid w:val="00A35E75"/>
    <w:rsid w:val="00A36783"/>
    <w:rsid w:val="00A36793"/>
    <w:rsid w:val="00A36BAC"/>
    <w:rsid w:val="00A37952"/>
    <w:rsid w:val="00A41C2F"/>
    <w:rsid w:val="00A4214D"/>
    <w:rsid w:val="00A428DB"/>
    <w:rsid w:val="00A42E8B"/>
    <w:rsid w:val="00A43502"/>
    <w:rsid w:val="00A439BF"/>
    <w:rsid w:val="00A43AB5"/>
    <w:rsid w:val="00A43BEA"/>
    <w:rsid w:val="00A44280"/>
    <w:rsid w:val="00A44462"/>
    <w:rsid w:val="00A4511A"/>
    <w:rsid w:val="00A457FB"/>
    <w:rsid w:val="00A45A5D"/>
    <w:rsid w:val="00A45F7A"/>
    <w:rsid w:val="00A469BE"/>
    <w:rsid w:val="00A46C13"/>
    <w:rsid w:val="00A46E39"/>
    <w:rsid w:val="00A46FC1"/>
    <w:rsid w:val="00A479A7"/>
    <w:rsid w:val="00A50F9B"/>
    <w:rsid w:val="00A52550"/>
    <w:rsid w:val="00A52E98"/>
    <w:rsid w:val="00A53551"/>
    <w:rsid w:val="00A540C0"/>
    <w:rsid w:val="00A543C2"/>
    <w:rsid w:val="00A54841"/>
    <w:rsid w:val="00A54A60"/>
    <w:rsid w:val="00A55081"/>
    <w:rsid w:val="00A570D8"/>
    <w:rsid w:val="00A57E6B"/>
    <w:rsid w:val="00A60E6F"/>
    <w:rsid w:val="00A611FF"/>
    <w:rsid w:val="00A614DF"/>
    <w:rsid w:val="00A616A3"/>
    <w:rsid w:val="00A64AC9"/>
    <w:rsid w:val="00A65623"/>
    <w:rsid w:val="00A656F9"/>
    <w:rsid w:val="00A668A3"/>
    <w:rsid w:val="00A66BCD"/>
    <w:rsid w:val="00A66C8E"/>
    <w:rsid w:val="00A67270"/>
    <w:rsid w:val="00A6734E"/>
    <w:rsid w:val="00A67DDF"/>
    <w:rsid w:val="00A701D8"/>
    <w:rsid w:val="00A703AC"/>
    <w:rsid w:val="00A70878"/>
    <w:rsid w:val="00A70932"/>
    <w:rsid w:val="00A71251"/>
    <w:rsid w:val="00A7284C"/>
    <w:rsid w:val="00A733BF"/>
    <w:rsid w:val="00A738FD"/>
    <w:rsid w:val="00A73AC1"/>
    <w:rsid w:val="00A74131"/>
    <w:rsid w:val="00A745B1"/>
    <w:rsid w:val="00A7507F"/>
    <w:rsid w:val="00A75C53"/>
    <w:rsid w:val="00A7706C"/>
    <w:rsid w:val="00A77963"/>
    <w:rsid w:val="00A8068F"/>
    <w:rsid w:val="00A83C5F"/>
    <w:rsid w:val="00A854CA"/>
    <w:rsid w:val="00A854D9"/>
    <w:rsid w:val="00A85D5A"/>
    <w:rsid w:val="00A87094"/>
    <w:rsid w:val="00A90FD9"/>
    <w:rsid w:val="00A91B4B"/>
    <w:rsid w:val="00A9224A"/>
    <w:rsid w:val="00A9423A"/>
    <w:rsid w:val="00A96281"/>
    <w:rsid w:val="00A965B1"/>
    <w:rsid w:val="00A97912"/>
    <w:rsid w:val="00A97C90"/>
    <w:rsid w:val="00AA0E7F"/>
    <w:rsid w:val="00AA3C63"/>
    <w:rsid w:val="00AA5081"/>
    <w:rsid w:val="00AA5258"/>
    <w:rsid w:val="00AA52AC"/>
    <w:rsid w:val="00AA5630"/>
    <w:rsid w:val="00AA64EA"/>
    <w:rsid w:val="00AA6CDF"/>
    <w:rsid w:val="00AA7F82"/>
    <w:rsid w:val="00AB3709"/>
    <w:rsid w:val="00AB414F"/>
    <w:rsid w:val="00AB61D8"/>
    <w:rsid w:val="00AB632D"/>
    <w:rsid w:val="00AB6557"/>
    <w:rsid w:val="00AB7EB4"/>
    <w:rsid w:val="00AC0600"/>
    <w:rsid w:val="00AC0DEC"/>
    <w:rsid w:val="00AC2143"/>
    <w:rsid w:val="00AC581C"/>
    <w:rsid w:val="00AC6917"/>
    <w:rsid w:val="00AC79CA"/>
    <w:rsid w:val="00AD02B4"/>
    <w:rsid w:val="00AD0597"/>
    <w:rsid w:val="00AD0786"/>
    <w:rsid w:val="00AD1022"/>
    <w:rsid w:val="00AD14A9"/>
    <w:rsid w:val="00AD4C23"/>
    <w:rsid w:val="00AD5249"/>
    <w:rsid w:val="00AD619F"/>
    <w:rsid w:val="00AD6E2E"/>
    <w:rsid w:val="00AD6E7D"/>
    <w:rsid w:val="00AE0748"/>
    <w:rsid w:val="00AE0791"/>
    <w:rsid w:val="00AE07EA"/>
    <w:rsid w:val="00AE0BFA"/>
    <w:rsid w:val="00AE1D54"/>
    <w:rsid w:val="00AE5AFC"/>
    <w:rsid w:val="00AE7D0C"/>
    <w:rsid w:val="00AE7D2F"/>
    <w:rsid w:val="00AF097F"/>
    <w:rsid w:val="00AF0A5E"/>
    <w:rsid w:val="00AF13F8"/>
    <w:rsid w:val="00AF1F7B"/>
    <w:rsid w:val="00AF3557"/>
    <w:rsid w:val="00AF43F7"/>
    <w:rsid w:val="00AF45B0"/>
    <w:rsid w:val="00AF48BC"/>
    <w:rsid w:val="00AF4D78"/>
    <w:rsid w:val="00AF670E"/>
    <w:rsid w:val="00AF6E14"/>
    <w:rsid w:val="00B0011C"/>
    <w:rsid w:val="00B044F1"/>
    <w:rsid w:val="00B0577B"/>
    <w:rsid w:val="00B07487"/>
    <w:rsid w:val="00B07F04"/>
    <w:rsid w:val="00B10907"/>
    <w:rsid w:val="00B11A21"/>
    <w:rsid w:val="00B1234D"/>
    <w:rsid w:val="00B13D90"/>
    <w:rsid w:val="00B141C8"/>
    <w:rsid w:val="00B15897"/>
    <w:rsid w:val="00B2072C"/>
    <w:rsid w:val="00B20E54"/>
    <w:rsid w:val="00B20E83"/>
    <w:rsid w:val="00B21420"/>
    <w:rsid w:val="00B21C9F"/>
    <w:rsid w:val="00B22D69"/>
    <w:rsid w:val="00B22FAC"/>
    <w:rsid w:val="00B23761"/>
    <w:rsid w:val="00B24053"/>
    <w:rsid w:val="00B24AC9"/>
    <w:rsid w:val="00B255A5"/>
    <w:rsid w:val="00B25704"/>
    <w:rsid w:val="00B25766"/>
    <w:rsid w:val="00B27BF6"/>
    <w:rsid w:val="00B3069B"/>
    <w:rsid w:val="00B30D44"/>
    <w:rsid w:val="00B31BDC"/>
    <w:rsid w:val="00B3339D"/>
    <w:rsid w:val="00B33774"/>
    <w:rsid w:val="00B349C9"/>
    <w:rsid w:val="00B37A10"/>
    <w:rsid w:val="00B405AF"/>
    <w:rsid w:val="00B427F0"/>
    <w:rsid w:val="00B42886"/>
    <w:rsid w:val="00B43B52"/>
    <w:rsid w:val="00B43CF7"/>
    <w:rsid w:val="00B44D4A"/>
    <w:rsid w:val="00B45522"/>
    <w:rsid w:val="00B46503"/>
    <w:rsid w:val="00B47147"/>
    <w:rsid w:val="00B52284"/>
    <w:rsid w:val="00B527F5"/>
    <w:rsid w:val="00B52CA9"/>
    <w:rsid w:val="00B551CB"/>
    <w:rsid w:val="00B55264"/>
    <w:rsid w:val="00B557A1"/>
    <w:rsid w:val="00B57583"/>
    <w:rsid w:val="00B6070A"/>
    <w:rsid w:val="00B607E0"/>
    <w:rsid w:val="00B60EF1"/>
    <w:rsid w:val="00B613E0"/>
    <w:rsid w:val="00B6184E"/>
    <w:rsid w:val="00B619FF"/>
    <w:rsid w:val="00B62948"/>
    <w:rsid w:val="00B63403"/>
    <w:rsid w:val="00B63E9A"/>
    <w:rsid w:val="00B644B8"/>
    <w:rsid w:val="00B66FC9"/>
    <w:rsid w:val="00B67586"/>
    <w:rsid w:val="00B676D5"/>
    <w:rsid w:val="00B67A9F"/>
    <w:rsid w:val="00B70CF9"/>
    <w:rsid w:val="00B71A1D"/>
    <w:rsid w:val="00B72137"/>
    <w:rsid w:val="00B72180"/>
    <w:rsid w:val="00B74A10"/>
    <w:rsid w:val="00B754F2"/>
    <w:rsid w:val="00B7582C"/>
    <w:rsid w:val="00B75F07"/>
    <w:rsid w:val="00B76019"/>
    <w:rsid w:val="00B76811"/>
    <w:rsid w:val="00B76860"/>
    <w:rsid w:val="00B8017F"/>
    <w:rsid w:val="00B80D7B"/>
    <w:rsid w:val="00B80F8F"/>
    <w:rsid w:val="00B819B4"/>
    <w:rsid w:val="00B824B7"/>
    <w:rsid w:val="00B83129"/>
    <w:rsid w:val="00B8365B"/>
    <w:rsid w:val="00B839DB"/>
    <w:rsid w:val="00B84162"/>
    <w:rsid w:val="00B84542"/>
    <w:rsid w:val="00B84BFC"/>
    <w:rsid w:val="00B8554C"/>
    <w:rsid w:val="00B85F97"/>
    <w:rsid w:val="00B9008C"/>
    <w:rsid w:val="00B91E95"/>
    <w:rsid w:val="00B92E2D"/>
    <w:rsid w:val="00B93083"/>
    <w:rsid w:val="00B9449E"/>
    <w:rsid w:val="00B945A8"/>
    <w:rsid w:val="00B95321"/>
    <w:rsid w:val="00B959D6"/>
    <w:rsid w:val="00B95B08"/>
    <w:rsid w:val="00B97188"/>
    <w:rsid w:val="00B97355"/>
    <w:rsid w:val="00BA0C88"/>
    <w:rsid w:val="00BA2908"/>
    <w:rsid w:val="00BA36AE"/>
    <w:rsid w:val="00BA4D21"/>
    <w:rsid w:val="00BA564B"/>
    <w:rsid w:val="00BA58FE"/>
    <w:rsid w:val="00BA5A36"/>
    <w:rsid w:val="00BA6178"/>
    <w:rsid w:val="00BA76B4"/>
    <w:rsid w:val="00BB0E81"/>
    <w:rsid w:val="00BB2118"/>
    <w:rsid w:val="00BB25BB"/>
    <w:rsid w:val="00BB362F"/>
    <w:rsid w:val="00BB47DA"/>
    <w:rsid w:val="00BB53CD"/>
    <w:rsid w:val="00BB66AC"/>
    <w:rsid w:val="00BB7440"/>
    <w:rsid w:val="00BB75D7"/>
    <w:rsid w:val="00BC0B26"/>
    <w:rsid w:val="00BC0B8C"/>
    <w:rsid w:val="00BC0FC8"/>
    <w:rsid w:val="00BC12DD"/>
    <w:rsid w:val="00BC157D"/>
    <w:rsid w:val="00BC1B39"/>
    <w:rsid w:val="00BC2636"/>
    <w:rsid w:val="00BC3C79"/>
    <w:rsid w:val="00BC490F"/>
    <w:rsid w:val="00BC4EA0"/>
    <w:rsid w:val="00BC55D3"/>
    <w:rsid w:val="00BC5D86"/>
    <w:rsid w:val="00BC7894"/>
    <w:rsid w:val="00BD09B3"/>
    <w:rsid w:val="00BD222A"/>
    <w:rsid w:val="00BD2328"/>
    <w:rsid w:val="00BD3452"/>
    <w:rsid w:val="00BD35C7"/>
    <w:rsid w:val="00BD549B"/>
    <w:rsid w:val="00BD65D6"/>
    <w:rsid w:val="00BD6A6B"/>
    <w:rsid w:val="00BD6C92"/>
    <w:rsid w:val="00BD6E73"/>
    <w:rsid w:val="00BE0185"/>
    <w:rsid w:val="00BE0193"/>
    <w:rsid w:val="00BE03FD"/>
    <w:rsid w:val="00BE146C"/>
    <w:rsid w:val="00BE196C"/>
    <w:rsid w:val="00BE19A5"/>
    <w:rsid w:val="00BE434D"/>
    <w:rsid w:val="00BE4943"/>
    <w:rsid w:val="00BE4956"/>
    <w:rsid w:val="00BE5818"/>
    <w:rsid w:val="00BE5890"/>
    <w:rsid w:val="00BE58D3"/>
    <w:rsid w:val="00BE59C7"/>
    <w:rsid w:val="00BE5BF0"/>
    <w:rsid w:val="00BE701D"/>
    <w:rsid w:val="00BE7335"/>
    <w:rsid w:val="00BF0984"/>
    <w:rsid w:val="00BF0C03"/>
    <w:rsid w:val="00BF25C6"/>
    <w:rsid w:val="00BF2C8D"/>
    <w:rsid w:val="00BF2DCB"/>
    <w:rsid w:val="00BF39B7"/>
    <w:rsid w:val="00BF478E"/>
    <w:rsid w:val="00BF4BFB"/>
    <w:rsid w:val="00BF4CB7"/>
    <w:rsid w:val="00BF6377"/>
    <w:rsid w:val="00BF690F"/>
    <w:rsid w:val="00BF7797"/>
    <w:rsid w:val="00C000C0"/>
    <w:rsid w:val="00C00608"/>
    <w:rsid w:val="00C00B18"/>
    <w:rsid w:val="00C00EC8"/>
    <w:rsid w:val="00C02EFB"/>
    <w:rsid w:val="00C068E9"/>
    <w:rsid w:val="00C07142"/>
    <w:rsid w:val="00C109B6"/>
    <w:rsid w:val="00C12293"/>
    <w:rsid w:val="00C14761"/>
    <w:rsid w:val="00C167FD"/>
    <w:rsid w:val="00C175BB"/>
    <w:rsid w:val="00C17F98"/>
    <w:rsid w:val="00C20905"/>
    <w:rsid w:val="00C22834"/>
    <w:rsid w:val="00C23CCE"/>
    <w:rsid w:val="00C2407D"/>
    <w:rsid w:val="00C24656"/>
    <w:rsid w:val="00C24B58"/>
    <w:rsid w:val="00C24E81"/>
    <w:rsid w:val="00C25F9F"/>
    <w:rsid w:val="00C263F7"/>
    <w:rsid w:val="00C30709"/>
    <w:rsid w:val="00C3071C"/>
    <w:rsid w:val="00C312F2"/>
    <w:rsid w:val="00C3196D"/>
    <w:rsid w:val="00C32233"/>
    <w:rsid w:val="00C32794"/>
    <w:rsid w:val="00C32EFD"/>
    <w:rsid w:val="00C3336F"/>
    <w:rsid w:val="00C3338B"/>
    <w:rsid w:val="00C33393"/>
    <w:rsid w:val="00C34D8C"/>
    <w:rsid w:val="00C3501C"/>
    <w:rsid w:val="00C35522"/>
    <w:rsid w:val="00C368ED"/>
    <w:rsid w:val="00C36B99"/>
    <w:rsid w:val="00C36D48"/>
    <w:rsid w:val="00C37384"/>
    <w:rsid w:val="00C373C3"/>
    <w:rsid w:val="00C40512"/>
    <w:rsid w:val="00C40585"/>
    <w:rsid w:val="00C40E7C"/>
    <w:rsid w:val="00C40FCB"/>
    <w:rsid w:val="00C42C21"/>
    <w:rsid w:val="00C433DD"/>
    <w:rsid w:val="00C4435B"/>
    <w:rsid w:val="00C467FA"/>
    <w:rsid w:val="00C46911"/>
    <w:rsid w:val="00C476FE"/>
    <w:rsid w:val="00C4771B"/>
    <w:rsid w:val="00C5035D"/>
    <w:rsid w:val="00C52108"/>
    <w:rsid w:val="00C53977"/>
    <w:rsid w:val="00C545AB"/>
    <w:rsid w:val="00C5567B"/>
    <w:rsid w:val="00C560CA"/>
    <w:rsid w:val="00C56D11"/>
    <w:rsid w:val="00C57BA4"/>
    <w:rsid w:val="00C607BF"/>
    <w:rsid w:val="00C62972"/>
    <w:rsid w:val="00C62C2B"/>
    <w:rsid w:val="00C62C46"/>
    <w:rsid w:val="00C63002"/>
    <w:rsid w:val="00C630A5"/>
    <w:rsid w:val="00C638A9"/>
    <w:rsid w:val="00C65AFB"/>
    <w:rsid w:val="00C6625C"/>
    <w:rsid w:val="00C6731A"/>
    <w:rsid w:val="00C67388"/>
    <w:rsid w:val="00C705A9"/>
    <w:rsid w:val="00C707A4"/>
    <w:rsid w:val="00C70FD9"/>
    <w:rsid w:val="00C71F51"/>
    <w:rsid w:val="00C7284F"/>
    <w:rsid w:val="00C75D25"/>
    <w:rsid w:val="00C7661C"/>
    <w:rsid w:val="00C77570"/>
    <w:rsid w:val="00C7779F"/>
    <w:rsid w:val="00C8053E"/>
    <w:rsid w:val="00C81B9F"/>
    <w:rsid w:val="00C83259"/>
    <w:rsid w:val="00C84E28"/>
    <w:rsid w:val="00C851ED"/>
    <w:rsid w:val="00C901CF"/>
    <w:rsid w:val="00C922AF"/>
    <w:rsid w:val="00C92C6E"/>
    <w:rsid w:val="00C944EB"/>
    <w:rsid w:val="00C9521F"/>
    <w:rsid w:val="00C9615B"/>
    <w:rsid w:val="00C97CF9"/>
    <w:rsid w:val="00CA1A31"/>
    <w:rsid w:val="00CA280B"/>
    <w:rsid w:val="00CA5394"/>
    <w:rsid w:val="00CA7D43"/>
    <w:rsid w:val="00CB0578"/>
    <w:rsid w:val="00CB1BB8"/>
    <w:rsid w:val="00CB1FC1"/>
    <w:rsid w:val="00CB51E9"/>
    <w:rsid w:val="00CB5B60"/>
    <w:rsid w:val="00CB6141"/>
    <w:rsid w:val="00CB74AE"/>
    <w:rsid w:val="00CB79A4"/>
    <w:rsid w:val="00CC111A"/>
    <w:rsid w:val="00CC2D95"/>
    <w:rsid w:val="00CC34A3"/>
    <w:rsid w:val="00CC40E0"/>
    <w:rsid w:val="00CC427D"/>
    <w:rsid w:val="00CC4A1F"/>
    <w:rsid w:val="00CC5188"/>
    <w:rsid w:val="00CC5348"/>
    <w:rsid w:val="00CC6BC0"/>
    <w:rsid w:val="00CC7397"/>
    <w:rsid w:val="00CC7D32"/>
    <w:rsid w:val="00CD0E11"/>
    <w:rsid w:val="00CD1982"/>
    <w:rsid w:val="00CD1E35"/>
    <w:rsid w:val="00CD3302"/>
    <w:rsid w:val="00CD3342"/>
    <w:rsid w:val="00CD36D8"/>
    <w:rsid w:val="00CD4350"/>
    <w:rsid w:val="00CD4B35"/>
    <w:rsid w:val="00CD4F6E"/>
    <w:rsid w:val="00CD4FF5"/>
    <w:rsid w:val="00CD5FF9"/>
    <w:rsid w:val="00CD7A0B"/>
    <w:rsid w:val="00CE016E"/>
    <w:rsid w:val="00CE1F05"/>
    <w:rsid w:val="00CE1F89"/>
    <w:rsid w:val="00CE54CF"/>
    <w:rsid w:val="00CE55E0"/>
    <w:rsid w:val="00CE6274"/>
    <w:rsid w:val="00CE72E9"/>
    <w:rsid w:val="00CE7CFE"/>
    <w:rsid w:val="00CF01B3"/>
    <w:rsid w:val="00CF0D40"/>
    <w:rsid w:val="00CF12D8"/>
    <w:rsid w:val="00CF2C16"/>
    <w:rsid w:val="00CF3173"/>
    <w:rsid w:val="00CF54D5"/>
    <w:rsid w:val="00CF5A42"/>
    <w:rsid w:val="00CF7396"/>
    <w:rsid w:val="00CF7EC6"/>
    <w:rsid w:val="00D009F4"/>
    <w:rsid w:val="00D02D8F"/>
    <w:rsid w:val="00D02E76"/>
    <w:rsid w:val="00D03B2F"/>
    <w:rsid w:val="00D043EC"/>
    <w:rsid w:val="00D04DFF"/>
    <w:rsid w:val="00D05F51"/>
    <w:rsid w:val="00D06414"/>
    <w:rsid w:val="00D069F0"/>
    <w:rsid w:val="00D06B18"/>
    <w:rsid w:val="00D07FE4"/>
    <w:rsid w:val="00D10352"/>
    <w:rsid w:val="00D106A2"/>
    <w:rsid w:val="00D11E1C"/>
    <w:rsid w:val="00D11F05"/>
    <w:rsid w:val="00D12D87"/>
    <w:rsid w:val="00D133B6"/>
    <w:rsid w:val="00D133F0"/>
    <w:rsid w:val="00D13E2C"/>
    <w:rsid w:val="00D15492"/>
    <w:rsid w:val="00D15C8F"/>
    <w:rsid w:val="00D16556"/>
    <w:rsid w:val="00D166CA"/>
    <w:rsid w:val="00D17020"/>
    <w:rsid w:val="00D171B5"/>
    <w:rsid w:val="00D1774E"/>
    <w:rsid w:val="00D178D5"/>
    <w:rsid w:val="00D17B07"/>
    <w:rsid w:val="00D17D58"/>
    <w:rsid w:val="00D17FD0"/>
    <w:rsid w:val="00D2010B"/>
    <w:rsid w:val="00D20453"/>
    <w:rsid w:val="00D20E81"/>
    <w:rsid w:val="00D22238"/>
    <w:rsid w:val="00D242D4"/>
    <w:rsid w:val="00D264D8"/>
    <w:rsid w:val="00D271B8"/>
    <w:rsid w:val="00D27395"/>
    <w:rsid w:val="00D30551"/>
    <w:rsid w:val="00D30A31"/>
    <w:rsid w:val="00D315CF"/>
    <w:rsid w:val="00D3322D"/>
    <w:rsid w:val="00D35EAC"/>
    <w:rsid w:val="00D3627A"/>
    <w:rsid w:val="00D36B0C"/>
    <w:rsid w:val="00D37CE1"/>
    <w:rsid w:val="00D418EB"/>
    <w:rsid w:val="00D41CDE"/>
    <w:rsid w:val="00D4411D"/>
    <w:rsid w:val="00D441E4"/>
    <w:rsid w:val="00D459D9"/>
    <w:rsid w:val="00D46103"/>
    <w:rsid w:val="00D4665F"/>
    <w:rsid w:val="00D5268F"/>
    <w:rsid w:val="00D52C3F"/>
    <w:rsid w:val="00D53B8C"/>
    <w:rsid w:val="00D54247"/>
    <w:rsid w:val="00D55A1D"/>
    <w:rsid w:val="00D56C26"/>
    <w:rsid w:val="00D5711C"/>
    <w:rsid w:val="00D61F08"/>
    <w:rsid w:val="00D62777"/>
    <w:rsid w:val="00D62EBA"/>
    <w:rsid w:val="00D63C2C"/>
    <w:rsid w:val="00D640A9"/>
    <w:rsid w:val="00D647E0"/>
    <w:rsid w:val="00D65AB2"/>
    <w:rsid w:val="00D672C9"/>
    <w:rsid w:val="00D7046F"/>
    <w:rsid w:val="00D721F8"/>
    <w:rsid w:val="00D723D5"/>
    <w:rsid w:val="00D72E73"/>
    <w:rsid w:val="00D74241"/>
    <w:rsid w:val="00D75AB8"/>
    <w:rsid w:val="00D75D4E"/>
    <w:rsid w:val="00D76808"/>
    <w:rsid w:val="00D76E4B"/>
    <w:rsid w:val="00D8081F"/>
    <w:rsid w:val="00D80854"/>
    <w:rsid w:val="00D814E5"/>
    <w:rsid w:val="00D826A7"/>
    <w:rsid w:val="00D872AF"/>
    <w:rsid w:val="00D9014B"/>
    <w:rsid w:val="00D9070A"/>
    <w:rsid w:val="00D90A3E"/>
    <w:rsid w:val="00D91E49"/>
    <w:rsid w:val="00D92338"/>
    <w:rsid w:val="00D92BC4"/>
    <w:rsid w:val="00D92C44"/>
    <w:rsid w:val="00D93A80"/>
    <w:rsid w:val="00D93BDD"/>
    <w:rsid w:val="00D93EB4"/>
    <w:rsid w:val="00D96B65"/>
    <w:rsid w:val="00D97CB2"/>
    <w:rsid w:val="00DA01C1"/>
    <w:rsid w:val="00DA1A00"/>
    <w:rsid w:val="00DA1EF5"/>
    <w:rsid w:val="00DA2F60"/>
    <w:rsid w:val="00DA30BB"/>
    <w:rsid w:val="00DA581F"/>
    <w:rsid w:val="00DA610A"/>
    <w:rsid w:val="00DA6755"/>
    <w:rsid w:val="00DA6E34"/>
    <w:rsid w:val="00DA7B0F"/>
    <w:rsid w:val="00DB0468"/>
    <w:rsid w:val="00DB0603"/>
    <w:rsid w:val="00DB1190"/>
    <w:rsid w:val="00DB164C"/>
    <w:rsid w:val="00DB31E4"/>
    <w:rsid w:val="00DB35B2"/>
    <w:rsid w:val="00DB56B3"/>
    <w:rsid w:val="00DB734E"/>
    <w:rsid w:val="00DC1149"/>
    <w:rsid w:val="00DC15A8"/>
    <w:rsid w:val="00DC2EC7"/>
    <w:rsid w:val="00DC3127"/>
    <w:rsid w:val="00DC3D2C"/>
    <w:rsid w:val="00DC6802"/>
    <w:rsid w:val="00DC6852"/>
    <w:rsid w:val="00DC6C14"/>
    <w:rsid w:val="00DC7B91"/>
    <w:rsid w:val="00DD07FF"/>
    <w:rsid w:val="00DD0996"/>
    <w:rsid w:val="00DD148E"/>
    <w:rsid w:val="00DD1AC8"/>
    <w:rsid w:val="00DD1C32"/>
    <w:rsid w:val="00DD1E79"/>
    <w:rsid w:val="00DD2ACD"/>
    <w:rsid w:val="00DD3CC4"/>
    <w:rsid w:val="00DD3E5B"/>
    <w:rsid w:val="00DD3EE9"/>
    <w:rsid w:val="00DD4550"/>
    <w:rsid w:val="00DD4FFA"/>
    <w:rsid w:val="00DD5AC9"/>
    <w:rsid w:val="00DD60BB"/>
    <w:rsid w:val="00DD6877"/>
    <w:rsid w:val="00DD6964"/>
    <w:rsid w:val="00DD79F5"/>
    <w:rsid w:val="00DE1A76"/>
    <w:rsid w:val="00DE21A9"/>
    <w:rsid w:val="00DE2AE9"/>
    <w:rsid w:val="00DE3453"/>
    <w:rsid w:val="00DE379A"/>
    <w:rsid w:val="00DE4E71"/>
    <w:rsid w:val="00DE5D87"/>
    <w:rsid w:val="00DE7279"/>
    <w:rsid w:val="00DE7AA7"/>
    <w:rsid w:val="00DE7B90"/>
    <w:rsid w:val="00DE7D56"/>
    <w:rsid w:val="00DE7E2A"/>
    <w:rsid w:val="00DF01DF"/>
    <w:rsid w:val="00DF06BD"/>
    <w:rsid w:val="00DF12E0"/>
    <w:rsid w:val="00DF2339"/>
    <w:rsid w:val="00DF6570"/>
    <w:rsid w:val="00DF6585"/>
    <w:rsid w:val="00DF7650"/>
    <w:rsid w:val="00DF76C9"/>
    <w:rsid w:val="00DF7846"/>
    <w:rsid w:val="00E016B8"/>
    <w:rsid w:val="00E025B7"/>
    <w:rsid w:val="00E039A8"/>
    <w:rsid w:val="00E03CDA"/>
    <w:rsid w:val="00E03F17"/>
    <w:rsid w:val="00E065A4"/>
    <w:rsid w:val="00E07245"/>
    <w:rsid w:val="00E12D0E"/>
    <w:rsid w:val="00E135B8"/>
    <w:rsid w:val="00E13A1C"/>
    <w:rsid w:val="00E13BF6"/>
    <w:rsid w:val="00E13D40"/>
    <w:rsid w:val="00E14265"/>
    <w:rsid w:val="00E158ED"/>
    <w:rsid w:val="00E16FE8"/>
    <w:rsid w:val="00E17553"/>
    <w:rsid w:val="00E17825"/>
    <w:rsid w:val="00E1782E"/>
    <w:rsid w:val="00E2088C"/>
    <w:rsid w:val="00E214B8"/>
    <w:rsid w:val="00E254A4"/>
    <w:rsid w:val="00E2602B"/>
    <w:rsid w:val="00E263F0"/>
    <w:rsid w:val="00E27164"/>
    <w:rsid w:val="00E27AC3"/>
    <w:rsid w:val="00E3090B"/>
    <w:rsid w:val="00E3171F"/>
    <w:rsid w:val="00E31B5B"/>
    <w:rsid w:val="00E321F0"/>
    <w:rsid w:val="00E32274"/>
    <w:rsid w:val="00E33C06"/>
    <w:rsid w:val="00E35E47"/>
    <w:rsid w:val="00E36CF3"/>
    <w:rsid w:val="00E40003"/>
    <w:rsid w:val="00E40333"/>
    <w:rsid w:val="00E41334"/>
    <w:rsid w:val="00E41B14"/>
    <w:rsid w:val="00E41E6A"/>
    <w:rsid w:val="00E426FB"/>
    <w:rsid w:val="00E429C3"/>
    <w:rsid w:val="00E43C07"/>
    <w:rsid w:val="00E43F0E"/>
    <w:rsid w:val="00E443B7"/>
    <w:rsid w:val="00E44BFA"/>
    <w:rsid w:val="00E450ED"/>
    <w:rsid w:val="00E46900"/>
    <w:rsid w:val="00E50358"/>
    <w:rsid w:val="00E53480"/>
    <w:rsid w:val="00E54862"/>
    <w:rsid w:val="00E54DBB"/>
    <w:rsid w:val="00E550C2"/>
    <w:rsid w:val="00E55A84"/>
    <w:rsid w:val="00E56D9B"/>
    <w:rsid w:val="00E57E28"/>
    <w:rsid w:val="00E60230"/>
    <w:rsid w:val="00E609E3"/>
    <w:rsid w:val="00E60F65"/>
    <w:rsid w:val="00E613CE"/>
    <w:rsid w:val="00E61503"/>
    <w:rsid w:val="00E62859"/>
    <w:rsid w:val="00E63592"/>
    <w:rsid w:val="00E64468"/>
    <w:rsid w:val="00E64B43"/>
    <w:rsid w:val="00E6572C"/>
    <w:rsid w:val="00E65FC6"/>
    <w:rsid w:val="00E6660D"/>
    <w:rsid w:val="00E6682B"/>
    <w:rsid w:val="00E702A4"/>
    <w:rsid w:val="00E7045F"/>
    <w:rsid w:val="00E705AF"/>
    <w:rsid w:val="00E71594"/>
    <w:rsid w:val="00E71818"/>
    <w:rsid w:val="00E71B14"/>
    <w:rsid w:val="00E72774"/>
    <w:rsid w:val="00E730A7"/>
    <w:rsid w:val="00E735C0"/>
    <w:rsid w:val="00E751DC"/>
    <w:rsid w:val="00E75201"/>
    <w:rsid w:val="00E76795"/>
    <w:rsid w:val="00E76A0D"/>
    <w:rsid w:val="00E77482"/>
    <w:rsid w:val="00E81CCB"/>
    <w:rsid w:val="00E82A5E"/>
    <w:rsid w:val="00E83A5C"/>
    <w:rsid w:val="00E83B1E"/>
    <w:rsid w:val="00E84F1D"/>
    <w:rsid w:val="00E8545C"/>
    <w:rsid w:val="00E85905"/>
    <w:rsid w:val="00E86C1F"/>
    <w:rsid w:val="00E90062"/>
    <w:rsid w:val="00E90599"/>
    <w:rsid w:val="00E9105C"/>
    <w:rsid w:val="00E92091"/>
    <w:rsid w:val="00E93EC8"/>
    <w:rsid w:val="00E957EE"/>
    <w:rsid w:val="00E965C1"/>
    <w:rsid w:val="00E96739"/>
    <w:rsid w:val="00E9743C"/>
    <w:rsid w:val="00EA0B28"/>
    <w:rsid w:val="00EA1868"/>
    <w:rsid w:val="00EA1CCA"/>
    <w:rsid w:val="00EA1D29"/>
    <w:rsid w:val="00EA24FD"/>
    <w:rsid w:val="00EA2B5E"/>
    <w:rsid w:val="00EA3E07"/>
    <w:rsid w:val="00EA6578"/>
    <w:rsid w:val="00EA68E8"/>
    <w:rsid w:val="00EA732C"/>
    <w:rsid w:val="00EB130D"/>
    <w:rsid w:val="00EB35E9"/>
    <w:rsid w:val="00EB5CF2"/>
    <w:rsid w:val="00EB5F8B"/>
    <w:rsid w:val="00EB63C8"/>
    <w:rsid w:val="00EC1BDD"/>
    <w:rsid w:val="00EC28CD"/>
    <w:rsid w:val="00EC3644"/>
    <w:rsid w:val="00EC3B37"/>
    <w:rsid w:val="00EC4139"/>
    <w:rsid w:val="00EC4AE4"/>
    <w:rsid w:val="00EC4EA4"/>
    <w:rsid w:val="00EC542D"/>
    <w:rsid w:val="00EC691E"/>
    <w:rsid w:val="00EC73F8"/>
    <w:rsid w:val="00EC7BC4"/>
    <w:rsid w:val="00ED23AF"/>
    <w:rsid w:val="00ED2581"/>
    <w:rsid w:val="00ED30A0"/>
    <w:rsid w:val="00ED363F"/>
    <w:rsid w:val="00ED40B0"/>
    <w:rsid w:val="00ED44A8"/>
    <w:rsid w:val="00ED4740"/>
    <w:rsid w:val="00ED55A6"/>
    <w:rsid w:val="00ED673D"/>
    <w:rsid w:val="00ED7121"/>
    <w:rsid w:val="00ED7DBE"/>
    <w:rsid w:val="00EE1461"/>
    <w:rsid w:val="00EE1803"/>
    <w:rsid w:val="00EE1E14"/>
    <w:rsid w:val="00EE228E"/>
    <w:rsid w:val="00EE2775"/>
    <w:rsid w:val="00EE4699"/>
    <w:rsid w:val="00EE6E58"/>
    <w:rsid w:val="00EE7227"/>
    <w:rsid w:val="00EE7249"/>
    <w:rsid w:val="00EE73F3"/>
    <w:rsid w:val="00EE758B"/>
    <w:rsid w:val="00EE7968"/>
    <w:rsid w:val="00EE7C8B"/>
    <w:rsid w:val="00EF0631"/>
    <w:rsid w:val="00EF12D3"/>
    <w:rsid w:val="00EF3F6E"/>
    <w:rsid w:val="00EF5558"/>
    <w:rsid w:val="00EF6273"/>
    <w:rsid w:val="00EF6335"/>
    <w:rsid w:val="00EF6387"/>
    <w:rsid w:val="00EF7F57"/>
    <w:rsid w:val="00F021B7"/>
    <w:rsid w:val="00F02AE9"/>
    <w:rsid w:val="00F030E7"/>
    <w:rsid w:val="00F0424E"/>
    <w:rsid w:val="00F05D77"/>
    <w:rsid w:val="00F06772"/>
    <w:rsid w:val="00F0687D"/>
    <w:rsid w:val="00F07A11"/>
    <w:rsid w:val="00F10BCA"/>
    <w:rsid w:val="00F11074"/>
    <w:rsid w:val="00F110FD"/>
    <w:rsid w:val="00F11119"/>
    <w:rsid w:val="00F11963"/>
    <w:rsid w:val="00F11F50"/>
    <w:rsid w:val="00F12205"/>
    <w:rsid w:val="00F1401A"/>
    <w:rsid w:val="00F149AA"/>
    <w:rsid w:val="00F149E6"/>
    <w:rsid w:val="00F165E7"/>
    <w:rsid w:val="00F168A8"/>
    <w:rsid w:val="00F16F85"/>
    <w:rsid w:val="00F173AB"/>
    <w:rsid w:val="00F177B0"/>
    <w:rsid w:val="00F17838"/>
    <w:rsid w:val="00F20303"/>
    <w:rsid w:val="00F2116D"/>
    <w:rsid w:val="00F21255"/>
    <w:rsid w:val="00F21FEC"/>
    <w:rsid w:val="00F2288F"/>
    <w:rsid w:val="00F23079"/>
    <w:rsid w:val="00F2524D"/>
    <w:rsid w:val="00F260DE"/>
    <w:rsid w:val="00F26369"/>
    <w:rsid w:val="00F26666"/>
    <w:rsid w:val="00F272D1"/>
    <w:rsid w:val="00F27A16"/>
    <w:rsid w:val="00F27BDA"/>
    <w:rsid w:val="00F31B0E"/>
    <w:rsid w:val="00F324D0"/>
    <w:rsid w:val="00F32EE6"/>
    <w:rsid w:val="00F334E9"/>
    <w:rsid w:val="00F34462"/>
    <w:rsid w:val="00F354F4"/>
    <w:rsid w:val="00F3601D"/>
    <w:rsid w:val="00F365CB"/>
    <w:rsid w:val="00F37234"/>
    <w:rsid w:val="00F375C5"/>
    <w:rsid w:val="00F41137"/>
    <w:rsid w:val="00F42218"/>
    <w:rsid w:val="00F43423"/>
    <w:rsid w:val="00F43ED7"/>
    <w:rsid w:val="00F44B67"/>
    <w:rsid w:val="00F455A1"/>
    <w:rsid w:val="00F458AA"/>
    <w:rsid w:val="00F46143"/>
    <w:rsid w:val="00F46E0A"/>
    <w:rsid w:val="00F47161"/>
    <w:rsid w:val="00F474B1"/>
    <w:rsid w:val="00F47C55"/>
    <w:rsid w:val="00F5022D"/>
    <w:rsid w:val="00F50BF9"/>
    <w:rsid w:val="00F52D08"/>
    <w:rsid w:val="00F53619"/>
    <w:rsid w:val="00F53D86"/>
    <w:rsid w:val="00F54446"/>
    <w:rsid w:val="00F5483A"/>
    <w:rsid w:val="00F55002"/>
    <w:rsid w:val="00F576D7"/>
    <w:rsid w:val="00F57DEE"/>
    <w:rsid w:val="00F61A22"/>
    <w:rsid w:val="00F61F61"/>
    <w:rsid w:val="00F62386"/>
    <w:rsid w:val="00F646E3"/>
    <w:rsid w:val="00F6607D"/>
    <w:rsid w:val="00F671CC"/>
    <w:rsid w:val="00F67766"/>
    <w:rsid w:val="00F678B1"/>
    <w:rsid w:val="00F72633"/>
    <w:rsid w:val="00F73F3B"/>
    <w:rsid w:val="00F7627B"/>
    <w:rsid w:val="00F7666D"/>
    <w:rsid w:val="00F77A19"/>
    <w:rsid w:val="00F811F0"/>
    <w:rsid w:val="00F813A6"/>
    <w:rsid w:val="00F82757"/>
    <w:rsid w:val="00F828BC"/>
    <w:rsid w:val="00F83429"/>
    <w:rsid w:val="00F845BC"/>
    <w:rsid w:val="00F84E21"/>
    <w:rsid w:val="00F850FF"/>
    <w:rsid w:val="00F87309"/>
    <w:rsid w:val="00F90E47"/>
    <w:rsid w:val="00F92A9C"/>
    <w:rsid w:val="00F92E4F"/>
    <w:rsid w:val="00F9303E"/>
    <w:rsid w:val="00F93E0A"/>
    <w:rsid w:val="00F9495F"/>
    <w:rsid w:val="00F94A0F"/>
    <w:rsid w:val="00F97868"/>
    <w:rsid w:val="00F97C93"/>
    <w:rsid w:val="00FA00B3"/>
    <w:rsid w:val="00FA0768"/>
    <w:rsid w:val="00FA3470"/>
    <w:rsid w:val="00FA36DF"/>
    <w:rsid w:val="00FA423C"/>
    <w:rsid w:val="00FA470C"/>
    <w:rsid w:val="00FA4FFA"/>
    <w:rsid w:val="00FA5451"/>
    <w:rsid w:val="00FA5979"/>
    <w:rsid w:val="00FA5D20"/>
    <w:rsid w:val="00FA7AB5"/>
    <w:rsid w:val="00FB04BE"/>
    <w:rsid w:val="00FB0A27"/>
    <w:rsid w:val="00FB129B"/>
    <w:rsid w:val="00FB1C89"/>
    <w:rsid w:val="00FB25D3"/>
    <w:rsid w:val="00FB3163"/>
    <w:rsid w:val="00FB3B6A"/>
    <w:rsid w:val="00FB4C13"/>
    <w:rsid w:val="00FB5432"/>
    <w:rsid w:val="00FB5706"/>
    <w:rsid w:val="00FB7CBA"/>
    <w:rsid w:val="00FC2073"/>
    <w:rsid w:val="00FC21D7"/>
    <w:rsid w:val="00FC3F9B"/>
    <w:rsid w:val="00FD04D8"/>
    <w:rsid w:val="00FD15C1"/>
    <w:rsid w:val="00FD1902"/>
    <w:rsid w:val="00FD2715"/>
    <w:rsid w:val="00FD3474"/>
    <w:rsid w:val="00FD3955"/>
    <w:rsid w:val="00FD422A"/>
    <w:rsid w:val="00FD4D65"/>
    <w:rsid w:val="00FD544D"/>
    <w:rsid w:val="00FD604C"/>
    <w:rsid w:val="00FD69E5"/>
    <w:rsid w:val="00FD6BB4"/>
    <w:rsid w:val="00FD70D2"/>
    <w:rsid w:val="00FD7F68"/>
    <w:rsid w:val="00FE07EA"/>
    <w:rsid w:val="00FE1FEC"/>
    <w:rsid w:val="00FE264A"/>
    <w:rsid w:val="00FE4293"/>
    <w:rsid w:val="00FE48BA"/>
    <w:rsid w:val="00FE4910"/>
    <w:rsid w:val="00FE688C"/>
    <w:rsid w:val="00FE7BE4"/>
    <w:rsid w:val="00FE7E0A"/>
    <w:rsid w:val="00FF0900"/>
    <w:rsid w:val="00FF13C5"/>
    <w:rsid w:val="00FF15BE"/>
    <w:rsid w:val="00FF1918"/>
    <w:rsid w:val="00FF19BE"/>
    <w:rsid w:val="00FF2613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D675BA"/>
  <w15:docId w15:val="{2340A6E5-A902-484E-84D5-A3126C3D5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 w:uiPriority="65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0CD"/>
    <w:pPr>
      <w:spacing w:after="120"/>
      <w:ind w:left="357" w:hanging="357"/>
      <w:jc w:val="both"/>
    </w:pPr>
    <w:rPr>
      <w:lang w:val="en-US"/>
    </w:rPr>
  </w:style>
  <w:style w:type="paragraph" w:styleId="Heading1">
    <w:name w:val="heading 1"/>
    <w:basedOn w:val="Normal"/>
    <w:next w:val="Normal"/>
    <w:qFormat/>
    <w:rsid w:val="00E13A1C"/>
    <w:pPr>
      <w:keepNext/>
      <w:spacing w:before="120" w:after="40"/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rsid w:val="00E13A1C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3A1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222FA"/>
    <w:rPr>
      <w:lang w:val="en-US"/>
    </w:rPr>
  </w:style>
  <w:style w:type="paragraph" w:styleId="Footer">
    <w:name w:val="footer"/>
    <w:basedOn w:val="Normal"/>
    <w:link w:val="FooterChar"/>
    <w:uiPriority w:val="99"/>
    <w:rsid w:val="00E13A1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D3302"/>
    <w:rPr>
      <w:lang w:val="en-US"/>
    </w:rPr>
  </w:style>
  <w:style w:type="paragraph" w:customStyle="1" w:styleId="Tekstbalonia1">
    <w:name w:val="Tekst balončića1"/>
    <w:basedOn w:val="Normal"/>
    <w:semiHidden/>
    <w:rsid w:val="00E13A1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13A1C"/>
    <w:rPr>
      <w:b/>
      <w:bCs/>
      <w:iCs/>
    </w:rPr>
  </w:style>
  <w:style w:type="paragraph" w:styleId="BodyText2">
    <w:name w:val="Body Text 2"/>
    <w:basedOn w:val="Normal"/>
    <w:rsid w:val="00E13A1C"/>
    <w:pPr>
      <w:spacing w:before="120"/>
    </w:pPr>
    <w:rPr>
      <w:iCs/>
    </w:rPr>
  </w:style>
  <w:style w:type="paragraph" w:styleId="BodyText3">
    <w:name w:val="Body Text 3"/>
    <w:basedOn w:val="Normal"/>
    <w:rsid w:val="00E13A1C"/>
    <w:pPr>
      <w:spacing w:before="120"/>
    </w:pPr>
    <w:rPr>
      <w:iCs/>
      <w:sz w:val="22"/>
    </w:rPr>
  </w:style>
  <w:style w:type="paragraph" w:styleId="BalloonText">
    <w:name w:val="Balloon Text"/>
    <w:basedOn w:val="Normal"/>
    <w:semiHidden/>
    <w:rsid w:val="006032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CE4C4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E4C44"/>
    <w:rPr>
      <w:sz w:val="16"/>
      <w:szCs w:val="16"/>
      <w:lang w:val="hr-HR" w:eastAsia="sl-SI"/>
    </w:rPr>
  </w:style>
  <w:style w:type="paragraph" w:styleId="FootnoteText">
    <w:name w:val="footnote text"/>
    <w:basedOn w:val="Normal"/>
    <w:link w:val="FootnoteTextChar"/>
    <w:rsid w:val="00CE4C44"/>
    <w:pPr>
      <w:widowControl w:val="0"/>
      <w:autoSpaceDE w:val="0"/>
      <w:autoSpaceDN w:val="0"/>
    </w:pPr>
    <w:rPr>
      <w:rFonts w:ascii="Times New Roman (WE)" w:hAnsi="Times New Roman (WE)"/>
      <w:lang w:eastAsia="en-US"/>
    </w:rPr>
  </w:style>
  <w:style w:type="character" w:customStyle="1" w:styleId="FootnoteTextChar">
    <w:name w:val="Footnote Text Char"/>
    <w:link w:val="FootnoteText"/>
    <w:rsid w:val="00CE4C44"/>
    <w:rPr>
      <w:rFonts w:ascii="Times New Roman (WE)" w:hAnsi="Times New Roman (WE)"/>
    </w:rPr>
  </w:style>
  <w:style w:type="table" w:customStyle="1" w:styleId="IntenseQuote1">
    <w:name w:val="Intense Quote1"/>
    <w:basedOn w:val="TableNormal"/>
    <w:uiPriority w:val="60"/>
    <w:qFormat/>
    <w:rsid w:val="000E2142"/>
    <w:rPr>
      <w:rFonts w:ascii="Cambria" w:hAnsi="Cambria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odysansserif2">
    <w:name w:val="Body sans serif 2"/>
    <w:basedOn w:val="Normal"/>
    <w:uiPriority w:val="99"/>
    <w:rsid w:val="009F233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eastAsia="Cambria" w:hAnsi="MyriadPro-Regular" w:cs="MyriadPro-Regular"/>
      <w:color w:val="000000"/>
      <w:lang w:eastAsia="en-US"/>
    </w:rPr>
  </w:style>
  <w:style w:type="paragraph" w:styleId="CommentText">
    <w:name w:val="annotation text"/>
    <w:basedOn w:val="Normal"/>
    <w:link w:val="CommentTextChar"/>
    <w:rsid w:val="004B70CD"/>
  </w:style>
  <w:style w:type="character" w:customStyle="1" w:styleId="CommentTextChar">
    <w:name w:val="Comment Text Char"/>
    <w:link w:val="CommentText"/>
    <w:rsid w:val="004B70CD"/>
    <w:rPr>
      <w:lang w:val="en-US"/>
    </w:rPr>
  </w:style>
  <w:style w:type="paragraph" w:styleId="ListParagraph">
    <w:name w:val="List Paragraph"/>
    <w:basedOn w:val="Normal"/>
    <w:uiPriority w:val="34"/>
    <w:qFormat/>
    <w:rsid w:val="004B70CD"/>
    <w:pPr>
      <w:ind w:left="708"/>
    </w:pPr>
  </w:style>
  <w:style w:type="character" w:styleId="Strong">
    <w:name w:val="Strong"/>
    <w:uiPriority w:val="22"/>
    <w:qFormat/>
    <w:rsid w:val="00793C4F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E264A"/>
    <w:pPr>
      <w:spacing w:after="0"/>
      <w:ind w:left="0" w:firstLine="0"/>
      <w:jc w:val="left"/>
    </w:pPr>
    <w:rPr>
      <w:rFonts w:ascii="Consolas" w:eastAsia="Calibri" w:hAnsi="Consolas"/>
      <w:sz w:val="21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rsid w:val="00FE264A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BB75D7"/>
    <w:pPr>
      <w:spacing w:before="100" w:beforeAutospacing="1" w:after="100" w:afterAutospacing="1"/>
      <w:ind w:left="0" w:firstLine="0"/>
      <w:jc w:val="left"/>
    </w:pPr>
    <w:rPr>
      <w:sz w:val="24"/>
      <w:szCs w:val="24"/>
      <w:lang w:val="hr-HR"/>
    </w:rPr>
  </w:style>
  <w:style w:type="table" w:styleId="TableGrid">
    <w:name w:val="Table Grid"/>
    <w:basedOn w:val="TableNormal"/>
    <w:rsid w:val="009B1E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08069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1">
    <w:name w:val="Medium List 11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2">
    <w:name w:val="Medium List 12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3">
    <w:name w:val="Medium List 13"/>
    <w:basedOn w:val="TableNormal"/>
    <w:next w:val="MediumList1"/>
    <w:uiPriority w:val="65"/>
    <w:rsid w:val="00F646E3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jana\My%20Documents\Predloci\Predlozak_praz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B47D-C5F1-4502-A0A4-819E84F1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Predlozak_prazno</Template>
  <TotalTime>0</TotalTime>
  <Pages>15</Pages>
  <Words>3670</Words>
  <Characters>20922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FESB</Company>
  <LinksUpToDate>false</LinksUpToDate>
  <CharactersWithSpaces>24543</CharactersWithSpaces>
  <SharedDoc>false</SharedDoc>
  <HLinks>
    <vt:vector size="18" baseType="variant">
      <vt:variant>
        <vt:i4>5242989</vt:i4>
      </vt:variant>
      <vt:variant>
        <vt:i4>2068</vt:i4>
      </vt:variant>
      <vt:variant>
        <vt:i4>1025</vt:i4>
      </vt:variant>
      <vt:variant>
        <vt:i4>1</vt:i4>
      </vt:variant>
      <vt:variant>
        <vt:lpwstr>tmp_light_top2fat</vt:lpwstr>
      </vt:variant>
      <vt:variant>
        <vt:lpwstr/>
      </vt:variant>
      <vt:variant>
        <vt:i4>1703938</vt:i4>
      </vt:variant>
      <vt:variant>
        <vt:i4>2072</vt:i4>
      </vt:variant>
      <vt:variant>
        <vt:i4>1026</vt:i4>
      </vt:variant>
      <vt:variant>
        <vt:i4>1</vt:i4>
      </vt:variant>
      <vt:variant>
        <vt:lpwstr>tmp_light_bottom</vt:lpwstr>
      </vt:variant>
      <vt:variant>
        <vt:lpwstr/>
      </vt:variant>
      <vt:variant>
        <vt:i4>1703938</vt:i4>
      </vt:variant>
      <vt:variant>
        <vt:i4>-1</vt:i4>
      </vt:variant>
      <vt:variant>
        <vt:i4>2057</vt:i4>
      </vt:variant>
      <vt:variant>
        <vt:i4>1</vt:i4>
      </vt:variant>
      <vt:variant>
        <vt:lpwstr>tmp_light_bottom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</dc:creator>
  <cp:lastModifiedBy>Vedrana Sivro</cp:lastModifiedBy>
  <cp:revision>2</cp:revision>
  <cp:lastPrinted>2023-01-28T07:43:00Z</cp:lastPrinted>
  <dcterms:created xsi:type="dcterms:W3CDTF">2024-01-31T12:10:00Z</dcterms:created>
  <dcterms:modified xsi:type="dcterms:W3CDTF">2024-01-31T12:10:00Z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806927143</vt:i4>
  </property>
  <property fmtid="{D5CDD505-2E9C-101B-9397-08002B2CF9AE}" pid="3" name="_EmailSubject">
    <vt:lpwstr>Zahtjev za znanstvenog novaka.</vt:lpwstr>
  </property>
  <property fmtid="{D5CDD505-2E9C-101B-9397-08002B2CF9AE}" pid="4" name="_AuthorEmail">
    <vt:lpwstr>Ivica.Puljak@cern.ch</vt:lpwstr>
  </property>
  <property fmtid="{D5CDD505-2E9C-101B-9397-08002B2CF9AE}" pid="5" name="_AuthorEmailDisplayName">
    <vt:lpwstr>Ivica Puljak</vt:lpwstr>
  </property>
  <property fmtid="{D5CDD505-2E9C-101B-9397-08002B2CF9AE}" pid="6" name="_ReviewingToolsShownOnce">
    <vt:lpwstr/>
  </property>
</Properties>
</file>